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395" w:type="dxa"/>
        <w:tblInd w:w="70" w:type="dxa"/>
        <w:tblLayout w:type="fixed"/>
        <w:tblCellMar>
          <w:left w:w="70" w:type="dxa"/>
          <w:right w:w="70" w:type="dxa"/>
        </w:tblCellMar>
        <w:tblLook w:val="0000" w:firstRow="0" w:lastRow="0" w:firstColumn="0" w:lastColumn="0" w:noHBand="0" w:noVBand="0"/>
      </w:tblPr>
      <w:tblGrid>
        <w:gridCol w:w="6894"/>
        <w:gridCol w:w="4179"/>
        <w:gridCol w:w="2322"/>
      </w:tblGrid>
      <w:tr w:rsidR="004E6F6F" w:rsidTr="00BC21F4">
        <w:trPr>
          <w:cantSplit/>
          <w:trHeight w:val="439"/>
        </w:trPr>
        <w:tc>
          <w:tcPr>
            <w:tcW w:w="6894" w:type="dxa"/>
          </w:tcPr>
          <w:p w:rsidR="004E6F6F" w:rsidRDefault="004E6F6F" w:rsidP="00BC21F4">
            <w:pPr>
              <w:pStyle w:val="Sidhuvud"/>
              <w:tabs>
                <w:tab w:val="clear" w:pos="4536"/>
                <w:tab w:val="clear" w:pos="9072"/>
                <w:tab w:val="right" w:pos="7088"/>
                <w:tab w:val="right" w:pos="8364"/>
              </w:tabs>
              <w:spacing w:line="220" w:lineRule="atLeast"/>
              <w:rPr>
                <w:rFonts w:ascii="Verdana" w:hAnsi="Verdana"/>
                <w:sz w:val="18"/>
              </w:rPr>
            </w:pPr>
            <w:r w:rsidRPr="00641163">
              <w:rPr>
                <w:rFonts w:ascii="Verdana" w:hAnsi="Verdana"/>
                <w:sz w:val="18"/>
              </w:rPr>
              <w:tab/>
              <w:t>-</w:t>
            </w:r>
            <w:r>
              <w:rPr>
                <w:rStyle w:val="Sidnummer"/>
              </w:rPr>
              <w:fldChar w:fldCharType="begin"/>
            </w:r>
            <w:r>
              <w:rPr>
                <w:rStyle w:val="Sidnummer"/>
              </w:rPr>
              <w:instrText xml:space="preserve"> PAGE </w:instrText>
            </w:r>
            <w:r>
              <w:rPr>
                <w:rStyle w:val="Sidnummer"/>
              </w:rPr>
              <w:fldChar w:fldCharType="separate"/>
            </w:r>
            <w:r w:rsidR="00FF7514">
              <w:rPr>
                <w:rStyle w:val="Sidnummer"/>
                <w:noProof/>
              </w:rPr>
              <w:t>1</w:t>
            </w:r>
            <w:r>
              <w:rPr>
                <w:rStyle w:val="Sidnummer"/>
              </w:rPr>
              <w:fldChar w:fldCharType="end"/>
            </w:r>
          </w:p>
        </w:tc>
        <w:tc>
          <w:tcPr>
            <w:tcW w:w="4179" w:type="dxa"/>
          </w:tcPr>
          <w:p w:rsidR="004E6F6F" w:rsidRDefault="004E6F6F" w:rsidP="004E6F6F">
            <w:pPr>
              <w:pStyle w:val="Sidhuvud"/>
              <w:tabs>
                <w:tab w:val="clear" w:pos="4536"/>
                <w:tab w:val="clear" w:pos="9072"/>
                <w:tab w:val="right" w:pos="7088"/>
                <w:tab w:val="right" w:pos="8364"/>
              </w:tabs>
              <w:spacing w:line="220" w:lineRule="atLeast"/>
              <w:rPr>
                <w:rFonts w:ascii="Verdana" w:hAnsi="Verdana"/>
                <w:sz w:val="18"/>
              </w:rPr>
            </w:pPr>
          </w:p>
        </w:tc>
        <w:tc>
          <w:tcPr>
            <w:tcW w:w="2322" w:type="dxa"/>
          </w:tcPr>
          <w:p w:rsidR="004E6F6F" w:rsidRDefault="004E6F6F" w:rsidP="004E6F6F">
            <w:pPr>
              <w:pStyle w:val="Sidhuvud"/>
              <w:jc w:val="right"/>
            </w:pPr>
          </w:p>
        </w:tc>
      </w:tr>
      <w:tr w:rsidR="004E6F6F" w:rsidTr="00BC21F4">
        <w:trPr>
          <w:trHeight w:val="499"/>
        </w:trPr>
        <w:tc>
          <w:tcPr>
            <w:tcW w:w="6894" w:type="dxa"/>
          </w:tcPr>
          <w:p w:rsidR="004E6F6F" w:rsidRDefault="004E6F6F" w:rsidP="004E6F6F">
            <w:pPr>
              <w:pStyle w:val="Sidhuvud"/>
              <w:tabs>
                <w:tab w:val="clear" w:pos="4536"/>
                <w:tab w:val="clear" w:pos="9072"/>
                <w:tab w:val="right" w:pos="7088"/>
                <w:tab w:val="right" w:pos="8364"/>
              </w:tabs>
              <w:spacing w:before="40"/>
              <w:rPr>
                <w:rFonts w:ascii="Verdana" w:hAnsi="Verdana"/>
                <w:sz w:val="16"/>
              </w:rPr>
            </w:pPr>
            <w:r>
              <w:rPr>
                <w:noProof/>
                <w:sz w:val="20"/>
                <w:lang w:eastAsia="sv-SE"/>
              </w:rPr>
              <w:drawing>
                <wp:inline distT="0" distB="0" distL="0" distR="0" wp14:anchorId="73ECD832" wp14:editId="602EF158">
                  <wp:extent cx="1609725" cy="276225"/>
                  <wp:effectExtent l="0" t="0" r="9525" b="9525"/>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9725" cy="276225"/>
                          </a:xfrm>
                          <a:prstGeom prst="rect">
                            <a:avLst/>
                          </a:prstGeom>
                          <a:noFill/>
                          <a:ln>
                            <a:noFill/>
                          </a:ln>
                        </pic:spPr>
                      </pic:pic>
                    </a:graphicData>
                  </a:graphic>
                </wp:inline>
              </w:drawing>
            </w:r>
          </w:p>
        </w:tc>
        <w:tc>
          <w:tcPr>
            <w:tcW w:w="4179" w:type="dxa"/>
          </w:tcPr>
          <w:p w:rsidR="004E6F6F" w:rsidRPr="00046D13" w:rsidRDefault="004E6F6F" w:rsidP="004E6F6F">
            <w:pPr>
              <w:pStyle w:val="Sidhuvudrubrik"/>
              <w:rPr>
                <w:rFonts w:ascii="Arial" w:hAnsi="Arial" w:cs="Arial"/>
                <w:lang w:val="sv-SE"/>
              </w:rPr>
            </w:pPr>
            <w:r w:rsidRPr="00046D13">
              <w:rPr>
                <w:rFonts w:ascii="Arial" w:hAnsi="Arial" w:cs="Arial"/>
                <w:lang w:val="sv-SE"/>
              </w:rPr>
              <w:t>Datum</w:t>
            </w:r>
          </w:p>
          <w:p w:rsidR="004E6F6F" w:rsidRPr="004E6F6F" w:rsidRDefault="004E6F6F" w:rsidP="004E6F6F">
            <w:pPr>
              <w:pStyle w:val="Sidhuvud"/>
              <w:rPr>
                <w:rFonts w:ascii="Arial" w:hAnsi="Arial" w:cs="Arial"/>
                <w:sz w:val="18"/>
                <w:szCs w:val="18"/>
              </w:rPr>
            </w:pPr>
            <w:r w:rsidRPr="004E6F6F">
              <w:rPr>
                <w:rFonts w:ascii="Arial" w:hAnsi="Arial" w:cs="Arial"/>
                <w:sz w:val="18"/>
                <w:szCs w:val="18"/>
              </w:rPr>
              <w:t>29 augusti 2012</w:t>
            </w:r>
          </w:p>
        </w:tc>
        <w:tc>
          <w:tcPr>
            <w:tcW w:w="2322" w:type="dxa"/>
          </w:tcPr>
          <w:p w:rsidR="004E6F6F" w:rsidRDefault="004E6F6F" w:rsidP="004E6F6F">
            <w:pPr>
              <w:pStyle w:val="Sidhuvud"/>
            </w:pPr>
          </w:p>
        </w:tc>
      </w:tr>
      <w:tr w:rsidR="004E6F6F" w:rsidTr="00BC21F4">
        <w:trPr>
          <w:cantSplit/>
          <w:trHeight w:val="510"/>
        </w:trPr>
        <w:tc>
          <w:tcPr>
            <w:tcW w:w="13395" w:type="dxa"/>
            <w:gridSpan w:val="3"/>
          </w:tcPr>
          <w:p w:rsidR="004E6F6F" w:rsidRPr="004E6F6F" w:rsidRDefault="004E6F6F" w:rsidP="004E6F6F">
            <w:pPr>
              <w:pStyle w:val="Sidhuvud"/>
              <w:tabs>
                <w:tab w:val="clear" w:pos="4536"/>
                <w:tab w:val="clear" w:pos="9072"/>
                <w:tab w:val="right" w:pos="7088"/>
                <w:tab w:val="right" w:pos="8364"/>
              </w:tabs>
              <w:rPr>
                <w:rFonts w:ascii="Arial" w:hAnsi="Arial" w:cs="Arial"/>
                <w:sz w:val="18"/>
              </w:rPr>
            </w:pPr>
            <w:r w:rsidRPr="004E6F6F">
              <w:rPr>
                <w:rFonts w:ascii="Arial" w:hAnsi="Arial" w:cs="Arial"/>
                <w:sz w:val="18"/>
              </w:rPr>
              <w:t>Claes Stråth</w:t>
            </w:r>
            <w:r w:rsidRPr="004E6F6F">
              <w:rPr>
                <w:rFonts w:ascii="Arial" w:hAnsi="Arial" w:cs="Arial"/>
                <w:sz w:val="18"/>
              </w:rPr>
              <w:br/>
            </w:r>
          </w:p>
        </w:tc>
      </w:tr>
    </w:tbl>
    <w:p w:rsidR="00B90306" w:rsidRDefault="005B3315" w:rsidP="00D77C4D">
      <w:pPr>
        <w:tabs>
          <w:tab w:val="left" w:pos="6237"/>
        </w:tabs>
        <w:spacing w:after="0"/>
        <w:ind w:left="5954"/>
      </w:pPr>
      <w:r>
        <w:t>Arbetsrättsliga föreningen</w:t>
      </w:r>
    </w:p>
    <w:p w:rsidR="00B90306" w:rsidRDefault="00062AA9" w:rsidP="00D77C4D">
      <w:pPr>
        <w:tabs>
          <w:tab w:val="left" w:pos="6237"/>
        </w:tabs>
        <w:ind w:left="5954"/>
      </w:pPr>
      <w:r>
        <w:t>Bäckaskogs slott</w:t>
      </w:r>
    </w:p>
    <w:p w:rsidR="00B90306" w:rsidRDefault="00B90306" w:rsidP="00B90306"/>
    <w:p w:rsidR="00F8552B" w:rsidRPr="00BC21F4" w:rsidRDefault="00F8552B" w:rsidP="00F8552B">
      <w:pPr>
        <w:pStyle w:val="Rubrik"/>
        <w:rPr>
          <w:rFonts w:ascii="Times New Roman" w:hAnsi="Times New Roman"/>
          <w:sz w:val="40"/>
          <w:szCs w:val="40"/>
        </w:rPr>
      </w:pPr>
      <w:r w:rsidRPr="00BC21F4">
        <w:rPr>
          <w:rFonts w:ascii="Times New Roman" w:hAnsi="Times New Roman"/>
          <w:sz w:val="40"/>
          <w:szCs w:val="40"/>
        </w:rPr>
        <w:t>Medlingsinstitutet och lönebildningen</w:t>
      </w:r>
    </w:p>
    <w:p w:rsidR="00F8552B" w:rsidRDefault="00F8552B" w:rsidP="00F8552B">
      <w:pPr>
        <w:pStyle w:val="Normal2"/>
      </w:pPr>
      <w:r w:rsidRPr="00F8552B">
        <w:t>Medlingsinstitutet</w:t>
      </w:r>
      <w:r w:rsidRPr="001220AA">
        <w:t xml:space="preserve"> bildades 2000 och ersatte Statens förliknings</w:t>
      </w:r>
      <w:r w:rsidRPr="001220AA">
        <w:softHyphen/>
        <w:t>manna</w:t>
      </w:r>
      <w:r>
        <w:softHyphen/>
      </w:r>
      <w:r w:rsidRPr="001220AA">
        <w:t>expedition.</w:t>
      </w:r>
    </w:p>
    <w:p w:rsidR="00062AA9" w:rsidRPr="001220AA" w:rsidRDefault="00062AA9" w:rsidP="00062AA9">
      <w:pPr>
        <w:spacing w:after="0"/>
        <w:rPr>
          <w:b/>
          <w:sz w:val="25"/>
          <w:szCs w:val="25"/>
        </w:rPr>
      </w:pPr>
      <w:r w:rsidRPr="001220AA">
        <w:rPr>
          <w:b/>
          <w:sz w:val="25"/>
          <w:szCs w:val="25"/>
        </w:rPr>
        <w:t>Medlingsinstitutets organisation</w:t>
      </w:r>
    </w:p>
    <w:p w:rsidR="00062AA9" w:rsidRPr="001220AA" w:rsidRDefault="00062AA9" w:rsidP="00062AA9">
      <w:pPr>
        <w:rPr>
          <w:szCs w:val="23"/>
        </w:rPr>
      </w:pPr>
      <w:r>
        <w:rPr>
          <w:szCs w:val="23"/>
        </w:rPr>
        <w:t>Medlings</w:t>
      </w:r>
      <w:r>
        <w:rPr>
          <w:szCs w:val="23"/>
        </w:rPr>
        <w:softHyphen/>
        <w:t>institutet har t</w:t>
      </w:r>
      <w:r w:rsidRPr="001220AA">
        <w:rPr>
          <w:szCs w:val="23"/>
        </w:rPr>
        <w:t>io anställda som har kompetens huvudsakligen inom arbetsrätt, national</w:t>
      </w:r>
      <w:r w:rsidRPr="001220AA">
        <w:rPr>
          <w:szCs w:val="23"/>
        </w:rPr>
        <w:softHyphen/>
        <w:t xml:space="preserve">ekonomi och statistik. </w:t>
      </w:r>
    </w:p>
    <w:p w:rsidR="00062AA9" w:rsidRPr="00803E7C" w:rsidRDefault="00062AA9" w:rsidP="00062AA9">
      <w:pPr>
        <w:rPr>
          <w:b/>
          <w:sz w:val="25"/>
          <w:szCs w:val="25"/>
        </w:rPr>
      </w:pPr>
      <w:r w:rsidRPr="00803E7C">
        <w:rPr>
          <w:b/>
          <w:sz w:val="25"/>
          <w:szCs w:val="25"/>
        </w:rPr>
        <w:t>Särskilt förordnade medlare</w:t>
      </w:r>
    </w:p>
    <w:p w:rsidR="00062AA9" w:rsidRDefault="00062AA9" w:rsidP="00062AA9">
      <w:pPr>
        <w:rPr>
          <w:szCs w:val="23"/>
        </w:rPr>
      </w:pPr>
      <w:r w:rsidRPr="001220AA">
        <w:rPr>
          <w:szCs w:val="23"/>
        </w:rPr>
        <w:t>Myndigheten har ca 40 medlare till sitt förfogande och de utses för varje enskilt uppdrag vid förhandlingar om kollektivavtal mellan en arbetsgivar</w:t>
      </w:r>
      <w:r w:rsidRPr="001220AA">
        <w:rPr>
          <w:szCs w:val="23"/>
        </w:rPr>
        <w:softHyphen/>
        <w:t>organisation och ett fackförbund. Medlarna är oftast tidigare förhandlare hos någon av arbets</w:t>
      </w:r>
      <w:r w:rsidRPr="001220AA">
        <w:rPr>
          <w:szCs w:val="23"/>
        </w:rPr>
        <w:softHyphen/>
        <w:t xml:space="preserve">marknadens parter. I medlargruppen finns också </w:t>
      </w:r>
      <w:r w:rsidR="00205CBE">
        <w:rPr>
          <w:szCs w:val="23"/>
        </w:rPr>
        <w:t>till exempel</w:t>
      </w:r>
      <w:r w:rsidRPr="001220AA">
        <w:rPr>
          <w:szCs w:val="23"/>
        </w:rPr>
        <w:t xml:space="preserve"> före detta statsrå</w:t>
      </w:r>
      <w:r>
        <w:rPr>
          <w:szCs w:val="23"/>
        </w:rPr>
        <w:t>d och högre ämbetsmän i staten.</w:t>
      </w:r>
    </w:p>
    <w:p w:rsidR="00205CBE" w:rsidRDefault="00205CBE" w:rsidP="00062AA9">
      <w:pPr>
        <w:rPr>
          <w:szCs w:val="23"/>
        </w:rPr>
      </w:pPr>
      <w:r>
        <w:rPr>
          <w:szCs w:val="23"/>
        </w:rPr>
        <w:t>De medlingar som genomförts hittills i år finns listade i en bilaga till det här dokumentet.</w:t>
      </w:r>
    </w:p>
    <w:p w:rsidR="00062AA9" w:rsidRPr="00062AA9" w:rsidRDefault="00062AA9" w:rsidP="00062AA9">
      <w:pPr>
        <w:spacing w:after="0"/>
        <w:rPr>
          <w:b/>
          <w:sz w:val="25"/>
          <w:szCs w:val="25"/>
        </w:rPr>
      </w:pPr>
      <w:r w:rsidRPr="00062AA9">
        <w:rPr>
          <w:b/>
          <w:sz w:val="25"/>
          <w:szCs w:val="25"/>
        </w:rPr>
        <w:t>Regionala medlare</w:t>
      </w:r>
    </w:p>
    <w:p w:rsidR="00062AA9" w:rsidRDefault="00062AA9" w:rsidP="00062AA9">
      <w:r>
        <w:t>För medling i lokala tvister har Medlingsinstitutet till sitt förfogande fyra fasta medlare med varsitt geografiskt verksamhetsområde. En fast medlare förordnas för ett år i taget. De handlägger i första hand tvister mellan fackförbund och oorganiserade arbetsgivare om tecknande av kollektivavtal, så kallade hängavtal.</w:t>
      </w:r>
    </w:p>
    <w:p w:rsidR="00062AA9" w:rsidRDefault="00062AA9" w:rsidP="00F8552B">
      <w:pPr>
        <w:pStyle w:val="Normal2"/>
      </w:pPr>
    </w:p>
    <w:p w:rsidR="00F8552B" w:rsidRPr="00A6594D" w:rsidRDefault="00F8552B" w:rsidP="00F8552B">
      <w:pPr>
        <w:pStyle w:val="Rubrik3"/>
        <w:rPr>
          <w:b/>
          <w:bCs/>
          <w:sz w:val="32"/>
          <w:szCs w:val="32"/>
        </w:rPr>
      </w:pPr>
      <w:r w:rsidRPr="00A6594D">
        <w:rPr>
          <w:b/>
          <w:bCs/>
          <w:sz w:val="32"/>
          <w:szCs w:val="32"/>
        </w:rPr>
        <w:t xml:space="preserve">MI:s tre huvuduppgifter är att </w:t>
      </w:r>
    </w:p>
    <w:p w:rsidR="00F8552B" w:rsidRPr="001220AA" w:rsidRDefault="00F8552B" w:rsidP="00AA6986">
      <w:pPr>
        <w:pStyle w:val="Punktlista"/>
        <w:numPr>
          <w:ilvl w:val="0"/>
          <w:numId w:val="6"/>
        </w:numPr>
        <w:spacing w:before="0" w:after="0"/>
        <w:rPr>
          <w:szCs w:val="23"/>
        </w:rPr>
      </w:pPr>
      <w:r w:rsidRPr="001220AA">
        <w:rPr>
          <w:szCs w:val="23"/>
        </w:rPr>
        <w:t>verka för en väl fungerande lönebildning</w:t>
      </w:r>
    </w:p>
    <w:p w:rsidR="00F8552B" w:rsidRPr="001220AA" w:rsidRDefault="00F8552B" w:rsidP="00AA6986">
      <w:pPr>
        <w:pStyle w:val="Punktlista"/>
        <w:numPr>
          <w:ilvl w:val="0"/>
          <w:numId w:val="6"/>
        </w:numPr>
        <w:spacing w:before="0" w:after="0"/>
        <w:rPr>
          <w:szCs w:val="23"/>
        </w:rPr>
      </w:pPr>
      <w:r w:rsidRPr="001220AA">
        <w:rPr>
          <w:szCs w:val="23"/>
        </w:rPr>
        <w:t xml:space="preserve">medla i arbetstvister </w:t>
      </w:r>
    </w:p>
    <w:p w:rsidR="00F8552B" w:rsidRPr="001220AA" w:rsidRDefault="00F8552B" w:rsidP="00AA6986">
      <w:pPr>
        <w:pStyle w:val="Punktlista"/>
        <w:numPr>
          <w:ilvl w:val="0"/>
          <w:numId w:val="6"/>
        </w:numPr>
        <w:spacing w:before="0" w:after="0"/>
        <w:rPr>
          <w:szCs w:val="23"/>
        </w:rPr>
      </w:pPr>
      <w:r w:rsidRPr="001220AA">
        <w:rPr>
          <w:szCs w:val="23"/>
        </w:rPr>
        <w:t>ansvara för den officiella lönestatistiken</w:t>
      </w:r>
    </w:p>
    <w:p w:rsidR="00F8552B" w:rsidRPr="00F8552B" w:rsidRDefault="00F8552B" w:rsidP="00F8552B">
      <w:pPr>
        <w:pStyle w:val="Rubrik3"/>
        <w:rPr>
          <w:b/>
          <w:bCs/>
          <w:sz w:val="25"/>
        </w:rPr>
      </w:pPr>
      <w:r w:rsidRPr="00F8552B">
        <w:rPr>
          <w:b/>
          <w:bCs/>
          <w:sz w:val="25"/>
        </w:rPr>
        <w:t>En väl fungerande lönebildning ska bland annat</w:t>
      </w:r>
    </w:p>
    <w:p w:rsidR="00F8552B" w:rsidRPr="001220AA" w:rsidRDefault="00F8552B" w:rsidP="00AA6986">
      <w:pPr>
        <w:pStyle w:val="Punktlista"/>
        <w:numPr>
          <w:ilvl w:val="0"/>
          <w:numId w:val="7"/>
        </w:numPr>
        <w:spacing w:before="0" w:after="0"/>
        <w:rPr>
          <w:szCs w:val="23"/>
        </w:rPr>
      </w:pPr>
      <w:r w:rsidRPr="001220AA">
        <w:rPr>
          <w:szCs w:val="23"/>
        </w:rPr>
        <w:t>ge ökad reallön</w:t>
      </w:r>
    </w:p>
    <w:p w:rsidR="00F8552B" w:rsidRPr="001220AA" w:rsidRDefault="00F8552B" w:rsidP="00AA6986">
      <w:pPr>
        <w:pStyle w:val="Punktlista"/>
        <w:numPr>
          <w:ilvl w:val="0"/>
          <w:numId w:val="7"/>
        </w:numPr>
        <w:spacing w:before="0" w:after="0"/>
        <w:rPr>
          <w:szCs w:val="23"/>
        </w:rPr>
      </w:pPr>
      <w:r w:rsidRPr="001220AA">
        <w:rPr>
          <w:szCs w:val="23"/>
        </w:rPr>
        <w:t>medverka till ökad sysselsättning</w:t>
      </w:r>
    </w:p>
    <w:p w:rsidR="00F8552B" w:rsidRPr="001220AA" w:rsidRDefault="00F8552B" w:rsidP="00AA6986">
      <w:pPr>
        <w:pStyle w:val="Punktlista"/>
        <w:numPr>
          <w:ilvl w:val="0"/>
          <w:numId w:val="7"/>
        </w:numPr>
        <w:spacing w:before="0" w:after="0"/>
        <w:rPr>
          <w:szCs w:val="23"/>
        </w:rPr>
      </w:pPr>
      <w:r w:rsidRPr="001220AA">
        <w:rPr>
          <w:szCs w:val="23"/>
        </w:rPr>
        <w:t>möjliggöra relativlöneförändringar</w:t>
      </w:r>
    </w:p>
    <w:p w:rsidR="00F8552B" w:rsidRPr="001220AA" w:rsidRDefault="00F8552B" w:rsidP="00AA6986">
      <w:pPr>
        <w:pStyle w:val="Punktlista"/>
        <w:numPr>
          <w:ilvl w:val="0"/>
          <w:numId w:val="7"/>
        </w:numPr>
        <w:spacing w:before="0" w:after="0"/>
        <w:rPr>
          <w:szCs w:val="23"/>
        </w:rPr>
      </w:pPr>
      <w:r w:rsidRPr="001220AA">
        <w:rPr>
          <w:szCs w:val="23"/>
        </w:rPr>
        <w:t>medföra få konflikter</w:t>
      </w:r>
    </w:p>
    <w:p w:rsidR="00F8552B" w:rsidRPr="001220AA" w:rsidRDefault="00F8552B" w:rsidP="00F8552B">
      <w:pPr>
        <w:pStyle w:val="Punktlista"/>
        <w:numPr>
          <w:ilvl w:val="0"/>
          <w:numId w:val="0"/>
        </w:numPr>
      </w:pPr>
      <w:r w:rsidRPr="001220AA">
        <w:t>Lönebildningen ska kunna förenas med att den konkurrens</w:t>
      </w:r>
      <w:r w:rsidRPr="001220AA">
        <w:softHyphen/>
        <w:t>utsatta sektorn är lönenormerande och med att industrins kostnader inte ökar mer än i Sveriges viktiga</w:t>
      </w:r>
      <w:r>
        <w:t>ste</w:t>
      </w:r>
      <w:r w:rsidRPr="001220AA">
        <w:t xml:space="preserve"> konkurrentländer.</w:t>
      </w:r>
    </w:p>
    <w:p w:rsidR="00F8552B" w:rsidRPr="00F8552B" w:rsidRDefault="00F8552B" w:rsidP="00F8552B">
      <w:pPr>
        <w:pStyle w:val="Rubrik3"/>
        <w:rPr>
          <w:b/>
          <w:bCs/>
          <w:sz w:val="25"/>
        </w:rPr>
      </w:pPr>
      <w:r w:rsidRPr="00F8552B">
        <w:rPr>
          <w:b/>
          <w:bCs/>
          <w:sz w:val="25"/>
        </w:rPr>
        <w:lastRenderedPageBreak/>
        <w:t>Information och samråd men också lite makt</w:t>
      </w:r>
    </w:p>
    <w:p w:rsidR="00F8552B" w:rsidRPr="001220AA" w:rsidRDefault="00F8552B" w:rsidP="00F8552B">
      <w:pPr>
        <w:pStyle w:val="Punktlista"/>
        <w:numPr>
          <w:ilvl w:val="0"/>
          <w:numId w:val="0"/>
        </w:numPr>
      </w:pPr>
      <w:r w:rsidRPr="001220AA">
        <w:t xml:space="preserve">Av förordningen med instruktion för Medlingsinstitutet framgår att det främst </w:t>
      </w:r>
      <w:r>
        <w:t xml:space="preserve">är </w:t>
      </w:r>
      <w:r w:rsidRPr="001220AA">
        <w:t xml:space="preserve">genom information och samråd som institutet ska verka för en väl fungerande lönebildning. </w:t>
      </w:r>
    </w:p>
    <w:p w:rsidR="00F8552B" w:rsidRPr="001220AA" w:rsidRDefault="00F8552B" w:rsidP="00F8552B">
      <w:pPr>
        <w:pStyle w:val="Punktlista"/>
        <w:numPr>
          <w:ilvl w:val="0"/>
          <w:numId w:val="0"/>
        </w:numPr>
      </w:pPr>
      <w:r w:rsidRPr="001220AA">
        <w:t xml:space="preserve">Men institutet kan också tillsätta medlare trots att part motsätter sig det och skjuta upp </w:t>
      </w:r>
      <w:r>
        <w:t xml:space="preserve">en </w:t>
      </w:r>
      <w:r w:rsidRPr="001220AA">
        <w:t>varslad stridsåtgärd. Dessa möjligheter används i mycket begränsa</w:t>
      </w:r>
      <w:r>
        <w:t>d</w:t>
      </w:r>
      <w:r w:rsidRPr="001220AA">
        <w:t xml:space="preserve"> utsträckning.</w:t>
      </w:r>
    </w:p>
    <w:p w:rsidR="00F8552B" w:rsidRPr="00F8552B" w:rsidRDefault="00F8552B" w:rsidP="00F8552B">
      <w:pPr>
        <w:pStyle w:val="Rubrik3"/>
        <w:rPr>
          <w:b/>
          <w:bCs/>
          <w:sz w:val="25"/>
        </w:rPr>
      </w:pPr>
      <w:r w:rsidRPr="00F8552B">
        <w:rPr>
          <w:b/>
          <w:bCs/>
          <w:sz w:val="25"/>
        </w:rPr>
        <w:t>Samsyn om lönenormering</w:t>
      </w:r>
    </w:p>
    <w:p w:rsidR="00F8552B" w:rsidRPr="001220AA" w:rsidRDefault="00F8552B" w:rsidP="00F8552B">
      <w:pPr>
        <w:pStyle w:val="Punktlista"/>
        <w:numPr>
          <w:ilvl w:val="0"/>
          <w:numId w:val="0"/>
        </w:numPr>
      </w:pPr>
      <w:r w:rsidRPr="001220AA">
        <w:t>Medlingsinstitutet ska</w:t>
      </w:r>
      <w:r>
        <w:t xml:space="preserve"> enligt instruktionen</w:t>
      </w:r>
      <w:r w:rsidRPr="001220AA">
        <w:t xml:space="preserve"> </w:t>
      </w:r>
      <w:r>
        <w:t>bland annat</w:t>
      </w:r>
      <w:r w:rsidRPr="001220AA">
        <w:t xml:space="preserve"> ”tillvarata och upprätthålla den samsyn som finns på arbetsmarknaden om den konkurrensutsatta sektorns lönenormerande roll”.</w:t>
      </w:r>
    </w:p>
    <w:p w:rsidR="00F8552B" w:rsidRPr="00F8552B" w:rsidRDefault="00F8552B" w:rsidP="00F8552B">
      <w:pPr>
        <w:pStyle w:val="Rubrik3"/>
        <w:rPr>
          <w:b/>
          <w:bCs/>
          <w:sz w:val="25"/>
        </w:rPr>
      </w:pPr>
      <w:r w:rsidRPr="00F8552B">
        <w:rPr>
          <w:b/>
          <w:bCs/>
          <w:sz w:val="25"/>
        </w:rPr>
        <w:t>Samhällsekonomiska förutsättningar</w:t>
      </w:r>
    </w:p>
    <w:p w:rsidR="00F8552B" w:rsidRPr="001220AA" w:rsidRDefault="00F8552B" w:rsidP="00F8552B">
      <w:pPr>
        <w:pStyle w:val="Punktlista"/>
        <w:numPr>
          <w:ilvl w:val="0"/>
          <w:numId w:val="0"/>
        </w:numPr>
      </w:pPr>
      <w:r w:rsidRPr="001220AA">
        <w:t>Medlingsinstitutet ska också ”samråda med parterna om de samhälls</w:t>
      </w:r>
      <w:r w:rsidRPr="001220AA">
        <w:softHyphen/>
        <w:t>ekonomiska förutsättningarna för förhandlingarna samt utifrån de rapporter om samhällsekonomin som Konjunktur</w:t>
      </w:r>
      <w:r w:rsidRPr="001220AA">
        <w:softHyphen/>
        <w:t>institutet upprättar upp</w:t>
      </w:r>
      <w:r>
        <w:t>märksamma lönebildningsproblem”.</w:t>
      </w:r>
    </w:p>
    <w:p w:rsidR="00F8552B" w:rsidRPr="00F8552B" w:rsidRDefault="00F8552B" w:rsidP="00F8552B">
      <w:pPr>
        <w:pStyle w:val="Rubrik3"/>
        <w:rPr>
          <w:b/>
          <w:bCs/>
          <w:sz w:val="25"/>
        </w:rPr>
      </w:pPr>
      <w:r w:rsidRPr="00F8552B">
        <w:rPr>
          <w:b/>
          <w:bCs/>
          <w:sz w:val="25"/>
        </w:rPr>
        <w:t>Jämställdhet</w:t>
      </w:r>
    </w:p>
    <w:p w:rsidR="00F8552B" w:rsidRDefault="00F8552B" w:rsidP="00F8552B">
      <w:r>
        <w:rPr>
          <w:szCs w:val="23"/>
        </w:rPr>
        <w:t xml:space="preserve">Instruktionen säger också att </w:t>
      </w:r>
      <w:r w:rsidRPr="001220AA">
        <w:rPr>
          <w:szCs w:val="23"/>
        </w:rPr>
        <w:t>Medlingsinstitutet ska ”analysera löneutvecklingen från ett jämställdhets</w:t>
      </w:r>
      <w:r>
        <w:rPr>
          <w:szCs w:val="23"/>
        </w:rPr>
        <w:softHyphen/>
      </w:r>
      <w:r w:rsidRPr="001220AA">
        <w:rPr>
          <w:szCs w:val="23"/>
        </w:rPr>
        <w:t>perspektiv och följa frågan om diskriminering i lönesättningen på andra grunder än kön”</w:t>
      </w:r>
      <w:r>
        <w:rPr>
          <w:szCs w:val="23"/>
        </w:rPr>
        <w:t>.</w:t>
      </w:r>
    </w:p>
    <w:p w:rsidR="00F8552B" w:rsidRPr="001220AA" w:rsidRDefault="00F8552B" w:rsidP="00F8552B">
      <w:pPr>
        <w:rPr>
          <w:szCs w:val="23"/>
        </w:rPr>
      </w:pPr>
      <w:r w:rsidRPr="001220AA">
        <w:rPr>
          <w:szCs w:val="23"/>
        </w:rPr>
        <w:t>Medlingsinstitutet ska</w:t>
      </w:r>
      <w:r w:rsidR="00280734">
        <w:rPr>
          <w:szCs w:val="23"/>
        </w:rPr>
        <w:t xml:space="preserve"> </w:t>
      </w:r>
      <w:r w:rsidRPr="001220AA">
        <w:rPr>
          <w:szCs w:val="23"/>
        </w:rPr>
        <w:t xml:space="preserve">”fästa uppmärksamheten på vikten av att de centrala kollektivavtalen konstrueras så att de främjar de lokala parternas </w:t>
      </w:r>
      <w:r>
        <w:rPr>
          <w:szCs w:val="23"/>
        </w:rPr>
        <w:t xml:space="preserve">arbete </w:t>
      </w:r>
      <w:r w:rsidRPr="001220AA">
        <w:rPr>
          <w:szCs w:val="23"/>
        </w:rPr>
        <w:t>med lönefrågor ur ett jämställdhetsperspektiv.”</w:t>
      </w:r>
    </w:p>
    <w:p w:rsidR="00F8552B" w:rsidRPr="00F8552B" w:rsidRDefault="00F8552B" w:rsidP="00F8552B">
      <w:pPr>
        <w:pStyle w:val="Rubrik3"/>
        <w:rPr>
          <w:b/>
          <w:bCs/>
          <w:sz w:val="25"/>
        </w:rPr>
      </w:pPr>
      <w:r w:rsidRPr="00F8552B">
        <w:rPr>
          <w:b/>
          <w:bCs/>
          <w:sz w:val="25"/>
        </w:rPr>
        <w:t>Fred -</w:t>
      </w:r>
      <w:r w:rsidRPr="00F8552B">
        <w:rPr>
          <w:b/>
          <w:bCs/>
          <w:sz w:val="25"/>
        </w:rPr>
        <w:softHyphen/>
        <w:t xml:space="preserve"> men inte till varje pris</w:t>
      </w:r>
    </w:p>
    <w:p w:rsidR="00F8552B" w:rsidRDefault="00F8552B" w:rsidP="00F8552B">
      <w:pPr>
        <w:rPr>
          <w:szCs w:val="23"/>
        </w:rPr>
      </w:pPr>
      <w:r w:rsidRPr="001220AA">
        <w:rPr>
          <w:szCs w:val="23"/>
        </w:rPr>
        <w:t>Omsorgen om en väl fungerande lönebildning går före arbetsfred. Det innebär att medlare utsedda av Medlingsinstitutet inte kan medverka till överens</w:t>
      </w:r>
      <w:r w:rsidRPr="001220AA">
        <w:rPr>
          <w:szCs w:val="23"/>
        </w:rPr>
        <w:softHyphen/>
        <w:t>kommelser som inte är förenliga med institutets uppgift att verka för en</w:t>
      </w:r>
      <w:r>
        <w:rPr>
          <w:szCs w:val="23"/>
        </w:rPr>
        <w:t xml:space="preserve"> väl fungerande lönebildning, det vill säga</w:t>
      </w:r>
      <w:r w:rsidRPr="001220AA">
        <w:rPr>
          <w:szCs w:val="23"/>
        </w:rPr>
        <w:t xml:space="preserve"> att slå vakt om den internationellt konkurrens</w:t>
      </w:r>
      <w:r w:rsidRPr="001220AA">
        <w:rPr>
          <w:szCs w:val="23"/>
        </w:rPr>
        <w:softHyphen/>
        <w:t>utsatta sektorns lönenormerande roll.</w:t>
      </w:r>
    </w:p>
    <w:p w:rsidR="00F8552B" w:rsidRPr="00F8552B" w:rsidRDefault="00F8552B" w:rsidP="00F8552B">
      <w:pPr>
        <w:pStyle w:val="Rubrik3"/>
        <w:rPr>
          <w:b/>
          <w:bCs/>
          <w:sz w:val="25"/>
        </w:rPr>
      </w:pPr>
      <w:r w:rsidRPr="00F8552B">
        <w:rPr>
          <w:b/>
          <w:bCs/>
          <w:sz w:val="25"/>
        </w:rPr>
        <w:t>För avsteg från lönenormen krävs</w:t>
      </w:r>
      <w:r w:rsidR="00043A1A">
        <w:rPr>
          <w:rStyle w:val="Fotnotsreferens"/>
          <w:b/>
          <w:bCs/>
        </w:rPr>
        <w:footnoteReference w:id="1"/>
      </w:r>
    </w:p>
    <w:p w:rsidR="00F8552B" w:rsidRPr="001220AA" w:rsidRDefault="00F8552B" w:rsidP="00AA6986">
      <w:pPr>
        <w:pStyle w:val="Punktlista"/>
        <w:numPr>
          <w:ilvl w:val="0"/>
          <w:numId w:val="5"/>
        </w:numPr>
        <w:spacing w:before="0" w:after="0"/>
        <w:rPr>
          <w:szCs w:val="23"/>
        </w:rPr>
      </w:pPr>
      <w:r>
        <w:t xml:space="preserve">samtycke från </w:t>
      </w:r>
      <w:r w:rsidRPr="001220AA">
        <w:t>motparten. Det får alltså inte framtvingas genom konflikt.</w:t>
      </w:r>
      <w:r w:rsidRPr="00522D84">
        <w:rPr>
          <w:szCs w:val="23"/>
        </w:rPr>
        <w:t xml:space="preserve"> </w:t>
      </w:r>
    </w:p>
    <w:p w:rsidR="00F8552B" w:rsidRPr="00522D84" w:rsidRDefault="00F76E8D" w:rsidP="00AA6986">
      <w:pPr>
        <w:pStyle w:val="Punktlista"/>
        <w:numPr>
          <w:ilvl w:val="0"/>
          <w:numId w:val="5"/>
        </w:numPr>
        <w:spacing w:before="0" w:after="0"/>
      </w:pPr>
      <w:r>
        <w:t xml:space="preserve">att </w:t>
      </w:r>
      <w:r w:rsidR="00F8552B">
        <w:t>d</w:t>
      </w:r>
      <w:r w:rsidR="00F8552B" w:rsidRPr="001220AA">
        <w:t>e som avtalar om avsteg från normen ansvarar själva för att övertyga övriga parter om skälen, så att inte kompensations</w:t>
      </w:r>
      <w:r w:rsidR="00F8552B" w:rsidRPr="001220AA">
        <w:softHyphen/>
        <w:t>krav blir följden</w:t>
      </w:r>
      <w:r w:rsidR="00F8552B" w:rsidRPr="00522D84">
        <w:t>.</w:t>
      </w:r>
    </w:p>
    <w:p w:rsidR="00F8552B" w:rsidRPr="001220AA" w:rsidRDefault="00F76E8D" w:rsidP="00AA6986">
      <w:pPr>
        <w:pStyle w:val="Punktlista"/>
        <w:numPr>
          <w:ilvl w:val="0"/>
          <w:numId w:val="5"/>
        </w:numPr>
        <w:spacing w:before="0" w:after="120"/>
        <w:rPr>
          <w:szCs w:val="23"/>
        </w:rPr>
      </w:pPr>
      <w:r>
        <w:rPr>
          <w:szCs w:val="23"/>
        </w:rPr>
        <w:t>att a</w:t>
      </w:r>
      <w:r w:rsidR="00F8552B" w:rsidRPr="001220AA">
        <w:rPr>
          <w:szCs w:val="23"/>
        </w:rPr>
        <w:t>vsteg från normen ska vara ett led i en långsiktig förändrings</w:t>
      </w:r>
      <w:r w:rsidR="00F8552B" w:rsidRPr="001220AA">
        <w:rPr>
          <w:szCs w:val="23"/>
        </w:rPr>
        <w:softHyphen/>
        <w:t xml:space="preserve">process, </w:t>
      </w:r>
      <w:r w:rsidR="00F8552B">
        <w:rPr>
          <w:szCs w:val="23"/>
        </w:rPr>
        <w:t>till exempel</w:t>
      </w:r>
      <w:r w:rsidR="00F8552B" w:rsidRPr="001220AA">
        <w:rPr>
          <w:szCs w:val="23"/>
        </w:rPr>
        <w:t xml:space="preserve"> för att åstadkomma relativa löneförändringar.</w:t>
      </w:r>
    </w:p>
    <w:p w:rsidR="00F8552B" w:rsidRPr="00F8552B" w:rsidRDefault="00F8552B" w:rsidP="00F8552B">
      <w:pPr>
        <w:pStyle w:val="Rubrik3"/>
        <w:rPr>
          <w:b/>
          <w:bCs/>
          <w:sz w:val="25"/>
        </w:rPr>
      </w:pPr>
      <w:r w:rsidRPr="00F8552B">
        <w:rPr>
          <w:b/>
          <w:bCs/>
          <w:sz w:val="25"/>
        </w:rPr>
        <w:t>Avtal om förhandlingsordning</w:t>
      </w:r>
    </w:p>
    <w:p w:rsidR="00F8552B" w:rsidRPr="001220AA" w:rsidRDefault="00F8552B" w:rsidP="00F8552B">
      <w:pPr>
        <w:pStyle w:val="Punktlista"/>
        <w:numPr>
          <w:ilvl w:val="0"/>
          <w:numId w:val="0"/>
        </w:numPr>
      </w:pPr>
      <w:r>
        <w:t>MBL</w:t>
      </w:r>
      <w:r w:rsidRPr="001220AA">
        <w:t xml:space="preserve"> medger att parterna träffar avtal om förhandlingsord</w:t>
      </w:r>
      <w:r w:rsidRPr="001220AA">
        <w:softHyphen/>
        <w:t>ning</w:t>
      </w:r>
      <w:r>
        <w:t xml:space="preserve"> </w:t>
      </w:r>
      <w:r w:rsidRPr="001220AA">
        <w:t xml:space="preserve">i vilket de </w:t>
      </w:r>
      <w:r>
        <w:t>bland annat</w:t>
      </w:r>
      <w:r w:rsidRPr="001220AA">
        <w:t xml:space="preserve"> reglerar tillsättning av egna utsedda medlare. Uppfyller avtalet lagens krav, ska det på parternas begäran registreras hos Medlings</w:t>
      </w:r>
      <w:r w:rsidRPr="001220AA">
        <w:softHyphen/>
        <w:t>institutet. Ett registrerat förhandlingsavtal innebär att Medlingsinstitutet är förhindrat att utse medlare mot parternas vilja.</w:t>
      </w:r>
    </w:p>
    <w:p w:rsidR="00F8552B" w:rsidRPr="00DF38BF" w:rsidRDefault="00F8552B" w:rsidP="00F8552B">
      <w:pPr>
        <w:pStyle w:val="Punktlista"/>
        <w:numPr>
          <w:ilvl w:val="0"/>
          <w:numId w:val="0"/>
        </w:numPr>
      </w:pPr>
      <w:r w:rsidRPr="001220AA">
        <w:lastRenderedPageBreak/>
        <w:t xml:space="preserve">Registrerade förhandlingsavtal finns inom industrin (det </w:t>
      </w:r>
      <w:r>
        <w:t xml:space="preserve">så kallade </w:t>
      </w:r>
      <w:r w:rsidRPr="001220AA">
        <w:t>Industri</w:t>
      </w:r>
      <w:r w:rsidRPr="001220AA">
        <w:softHyphen/>
        <w:t xml:space="preserve">avtalet), delar </w:t>
      </w:r>
      <w:r w:rsidRPr="00DF38BF">
        <w:t>av den kommunala sektorn, staten och ytterligare några branscher främst inom tjänstesektorn.</w:t>
      </w:r>
    </w:p>
    <w:p w:rsidR="00043A1A" w:rsidRDefault="00F8552B" w:rsidP="00F8552B">
      <w:pPr>
        <w:pStyle w:val="Punktlista"/>
        <w:numPr>
          <w:ilvl w:val="0"/>
          <w:numId w:val="0"/>
        </w:numPr>
      </w:pPr>
      <w:r>
        <w:t>För närvarande finns 17 registrerade avtal varav två har sagts upp efter årets avtalsrörelse. Det gäller Unionen med flera och Almega Tjänsteföretagen och Media</w:t>
      </w:r>
      <w:r>
        <w:softHyphen/>
        <w:t>företagen samt SLA Skogs- och lantarbetsgivareförbundet och Kommunal med flera.</w:t>
      </w:r>
    </w:p>
    <w:p w:rsidR="00043A1A" w:rsidRPr="00F76E8D" w:rsidRDefault="00F76E8D" w:rsidP="00043A1A">
      <w:pPr>
        <w:pStyle w:val="Rubrik3"/>
        <w:rPr>
          <w:b/>
          <w:bCs/>
          <w:sz w:val="25"/>
          <w:szCs w:val="25"/>
        </w:rPr>
      </w:pPr>
      <w:r>
        <w:rPr>
          <w:b/>
          <w:bCs/>
          <w:sz w:val="25"/>
          <w:szCs w:val="25"/>
        </w:rPr>
        <w:t>Lönea</w:t>
      </w:r>
      <w:r w:rsidR="00043A1A" w:rsidRPr="00F76E8D">
        <w:rPr>
          <w:b/>
          <w:bCs/>
          <w:sz w:val="25"/>
          <w:szCs w:val="25"/>
        </w:rPr>
        <w:t>vtalskonstruktioner</w:t>
      </w:r>
    </w:p>
    <w:p w:rsidR="00406DBE" w:rsidRDefault="00F9114C" w:rsidP="00043A1A">
      <w:pPr>
        <w:pStyle w:val="Normal2"/>
      </w:pPr>
      <w:r>
        <w:t>Många avtal inom såväl pri</w:t>
      </w:r>
      <w:r w:rsidR="00043A1A">
        <w:t xml:space="preserve">vat som offentlig sektor har bestämmelser som förutsätter att de lokala parterna kommer överens om löneutrymmets storlek </w:t>
      </w:r>
      <w:r>
        <w:t>och fördelning på grup</w:t>
      </w:r>
      <w:r w:rsidR="00406DBE">
        <w:t>p</w:t>
      </w:r>
      <w:r>
        <w:t>er och individer. Till de avtalsbestämmelserna är ofta olika regler om hur mycket lönerna ska höjas kopplade liksom bestämmelser om garanterade belopp för varje individ.</w:t>
      </w:r>
    </w:p>
    <w:p w:rsidR="00B90306" w:rsidRPr="00043A1A" w:rsidRDefault="00406DBE" w:rsidP="00043A1A">
      <w:pPr>
        <w:pStyle w:val="Normal2"/>
      </w:pPr>
      <w:r>
        <w:t>Den vanligaste avtalsformen på hela arbetsmarknaden är lönepott med individgaranti, men inom till exempel staten finns inga sådana garantier alls</w:t>
      </w:r>
    </w:p>
    <w:p w:rsidR="00F8552B" w:rsidRPr="00F8552B" w:rsidRDefault="00F8552B" w:rsidP="00EC5AED">
      <w:pPr>
        <w:pStyle w:val="Tabellrubrik1"/>
      </w:pPr>
      <w:r w:rsidRPr="00F8552B">
        <w:t>Avtalskons</w:t>
      </w:r>
      <w:r>
        <w:t xml:space="preserve">truktionernas </w:t>
      </w:r>
      <w:r w:rsidRPr="00F8552B">
        <w:t>fördelning på hela arbetsmarknaden</w:t>
      </w:r>
      <w:r w:rsidR="00330EE4">
        <w:t>*</w:t>
      </w:r>
    </w:p>
    <w:tbl>
      <w:tblPr>
        <w:tblW w:w="8520" w:type="dxa"/>
        <w:tblInd w:w="55" w:type="dxa"/>
        <w:tblCellMar>
          <w:left w:w="70" w:type="dxa"/>
          <w:right w:w="70" w:type="dxa"/>
        </w:tblCellMar>
        <w:tblLook w:val="04A0" w:firstRow="1" w:lastRow="0" w:firstColumn="1" w:lastColumn="0" w:noHBand="0" w:noVBand="1"/>
      </w:tblPr>
      <w:tblGrid>
        <w:gridCol w:w="4835"/>
        <w:gridCol w:w="850"/>
        <w:gridCol w:w="709"/>
        <w:gridCol w:w="1134"/>
        <w:gridCol w:w="992"/>
      </w:tblGrid>
      <w:tr w:rsidR="00F8552B" w:rsidRPr="005B593C" w:rsidTr="00043A1A">
        <w:trPr>
          <w:trHeight w:val="297"/>
        </w:trPr>
        <w:tc>
          <w:tcPr>
            <w:tcW w:w="4835" w:type="dxa"/>
            <w:tcBorders>
              <w:top w:val="single" w:sz="4" w:space="0" w:color="auto"/>
              <w:left w:val="single" w:sz="4" w:space="0" w:color="auto"/>
              <w:bottom w:val="nil"/>
              <w:right w:val="single" w:sz="4" w:space="0" w:color="auto"/>
            </w:tcBorders>
            <w:shd w:val="clear" w:color="auto" w:fill="auto"/>
            <w:noWrap/>
            <w:vAlign w:val="center"/>
            <w:hideMark/>
          </w:tcPr>
          <w:p w:rsidR="00F8552B" w:rsidRPr="00552AB2" w:rsidRDefault="00F8552B" w:rsidP="00043A1A">
            <w:pPr>
              <w:overflowPunct/>
              <w:autoSpaceDE/>
              <w:autoSpaceDN/>
              <w:adjustRightInd/>
              <w:spacing w:after="0" w:line="240" w:lineRule="auto"/>
              <w:textAlignment w:val="auto"/>
              <w:rPr>
                <w:rFonts w:ascii="Arial" w:hAnsi="Arial" w:cs="Arial"/>
                <w:color w:val="000000"/>
                <w:sz w:val="16"/>
                <w:szCs w:val="16"/>
                <w:lang w:eastAsia="sv-SE"/>
              </w:rPr>
            </w:pPr>
            <w:r w:rsidRPr="00552AB2">
              <w:rPr>
                <w:rFonts w:ascii="Arial" w:hAnsi="Arial" w:cs="Arial"/>
                <w:color w:val="000000"/>
                <w:sz w:val="16"/>
                <w:szCs w:val="16"/>
                <w:lang w:eastAsia="sv-SE"/>
              </w:rPr>
              <w:t>Avtalskonstruktion</w:t>
            </w:r>
          </w:p>
        </w:tc>
        <w:tc>
          <w:tcPr>
            <w:tcW w:w="3685" w:type="dxa"/>
            <w:gridSpan w:val="4"/>
            <w:tcBorders>
              <w:top w:val="single" w:sz="4" w:space="0" w:color="auto"/>
              <w:left w:val="single" w:sz="4" w:space="0" w:color="auto"/>
              <w:bottom w:val="nil"/>
              <w:right w:val="single" w:sz="4" w:space="0" w:color="000000"/>
            </w:tcBorders>
            <w:shd w:val="clear" w:color="auto" w:fill="auto"/>
            <w:noWrap/>
            <w:vAlign w:val="center"/>
            <w:hideMark/>
          </w:tcPr>
          <w:p w:rsidR="00F8552B" w:rsidRPr="00552AB2" w:rsidRDefault="00F8552B" w:rsidP="00043A1A">
            <w:pPr>
              <w:overflowPunct/>
              <w:autoSpaceDE/>
              <w:autoSpaceDN/>
              <w:adjustRightInd/>
              <w:spacing w:after="0" w:line="240" w:lineRule="auto"/>
              <w:textAlignment w:val="auto"/>
              <w:rPr>
                <w:rFonts w:ascii="Arial" w:hAnsi="Arial" w:cs="Arial"/>
                <w:color w:val="000000"/>
                <w:sz w:val="16"/>
                <w:szCs w:val="16"/>
                <w:lang w:eastAsia="sv-SE"/>
              </w:rPr>
            </w:pPr>
            <w:r w:rsidRPr="00552AB2">
              <w:rPr>
                <w:rFonts w:ascii="Arial" w:hAnsi="Arial" w:cs="Arial"/>
                <w:color w:val="000000"/>
                <w:sz w:val="16"/>
                <w:szCs w:val="16"/>
                <w:lang w:eastAsia="sv-SE"/>
              </w:rPr>
              <w:t>Andel av samtliga anställda på arbetsmarknaden</w:t>
            </w:r>
          </w:p>
        </w:tc>
      </w:tr>
      <w:tr w:rsidR="00F8552B" w:rsidRPr="005B593C" w:rsidTr="00043A1A">
        <w:trPr>
          <w:trHeight w:val="340"/>
        </w:trPr>
        <w:tc>
          <w:tcPr>
            <w:tcW w:w="4835" w:type="dxa"/>
            <w:tcBorders>
              <w:top w:val="single" w:sz="4" w:space="0" w:color="auto"/>
              <w:left w:val="single" w:sz="4" w:space="0" w:color="auto"/>
              <w:bottom w:val="single" w:sz="4" w:space="0" w:color="auto"/>
              <w:right w:val="nil"/>
            </w:tcBorders>
            <w:shd w:val="clear" w:color="auto" w:fill="auto"/>
            <w:noWrap/>
            <w:vAlign w:val="bottom"/>
            <w:hideMark/>
          </w:tcPr>
          <w:p w:rsidR="00F8552B" w:rsidRPr="00552AB2" w:rsidRDefault="00F8552B" w:rsidP="00043A1A">
            <w:pPr>
              <w:overflowPunct/>
              <w:autoSpaceDE/>
              <w:autoSpaceDN/>
              <w:adjustRightInd/>
              <w:spacing w:after="0" w:line="240" w:lineRule="auto"/>
              <w:textAlignment w:val="auto"/>
              <w:rPr>
                <w:rFonts w:ascii="Arial" w:hAnsi="Arial" w:cs="Arial"/>
                <w:color w:val="000000"/>
                <w:sz w:val="16"/>
                <w:szCs w:val="16"/>
                <w:lang w:eastAsia="sv-SE"/>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F8552B" w:rsidRPr="00552AB2" w:rsidRDefault="00F8552B" w:rsidP="00043A1A">
            <w:pPr>
              <w:overflowPunct/>
              <w:autoSpaceDE/>
              <w:autoSpaceDN/>
              <w:adjustRightInd/>
              <w:spacing w:after="0" w:line="240" w:lineRule="auto"/>
              <w:textAlignment w:val="auto"/>
              <w:rPr>
                <w:rFonts w:ascii="Arial" w:hAnsi="Arial" w:cs="Arial"/>
                <w:color w:val="000000"/>
                <w:sz w:val="16"/>
                <w:szCs w:val="16"/>
                <w:lang w:eastAsia="sv-SE"/>
              </w:rPr>
            </w:pPr>
            <w:r w:rsidRPr="00552AB2">
              <w:rPr>
                <w:rFonts w:ascii="Arial" w:hAnsi="Arial" w:cs="Arial"/>
                <w:color w:val="000000"/>
                <w:sz w:val="16"/>
                <w:szCs w:val="16"/>
                <w:lang w:eastAsia="sv-SE"/>
              </w:rPr>
              <w:t>Privat</w:t>
            </w:r>
          </w:p>
        </w:tc>
        <w:tc>
          <w:tcPr>
            <w:tcW w:w="709" w:type="dxa"/>
            <w:tcBorders>
              <w:top w:val="single" w:sz="4" w:space="0" w:color="auto"/>
              <w:left w:val="nil"/>
              <w:bottom w:val="single" w:sz="4" w:space="0" w:color="auto"/>
              <w:right w:val="single" w:sz="4" w:space="0" w:color="auto"/>
            </w:tcBorders>
            <w:shd w:val="clear" w:color="auto" w:fill="auto"/>
            <w:noWrap/>
            <w:hideMark/>
          </w:tcPr>
          <w:p w:rsidR="00F8552B" w:rsidRPr="00552AB2" w:rsidRDefault="00F8552B" w:rsidP="00043A1A">
            <w:pPr>
              <w:overflowPunct/>
              <w:autoSpaceDE/>
              <w:autoSpaceDN/>
              <w:adjustRightInd/>
              <w:spacing w:after="0" w:line="240" w:lineRule="auto"/>
              <w:textAlignment w:val="auto"/>
              <w:rPr>
                <w:rFonts w:ascii="Arial" w:hAnsi="Arial" w:cs="Arial"/>
                <w:color w:val="000000"/>
                <w:sz w:val="16"/>
                <w:szCs w:val="16"/>
                <w:lang w:eastAsia="sv-SE"/>
              </w:rPr>
            </w:pPr>
            <w:r w:rsidRPr="00552AB2">
              <w:rPr>
                <w:rFonts w:ascii="Arial" w:hAnsi="Arial" w:cs="Arial"/>
                <w:color w:val="000000"/>
                <w:sz w:val="16"/>
                <w:szCs w:val="16"/>
                <w:lang w:eastAsia="sv-SE"/>
              </w:rPr>
              <w:t>Staten</w:t>
            </w:r>
          </w:p>
        </w:tc>
        <w:tc>
          <w:tcPr>
            <w:tcW w:w="1134" w:type="dxa"/>
            <w:tcBorders>
              <w:top w:val="single" w:sz="4" w:space="0" w:color="auto"/>
              <w:left w:val="nil"/>
              <w:bottom w:val="single" w:sz="4" w:space="0" w:color="auto"/>
              <w:right w:val="single" w:sz="4" w:space="0" w:color="auto"/>
            </w:tcBorders>
            <w:shd w:val="clear" w:color="auto" w:fill="auto"/>
            <w:noWrap/>
            <w:hideMark/>
          </w:tcPr>
          <w:p w:rsidR="00F8552B" w:rsidRPr="00552AB2" w:rsidRDefault="00F8552B" w:rsidP="00043A1A">
            <w:pPr>
              <w:overflowPunct/>
              <w:autoSpaceDE/>
              <w:autoSpaceDN/>
              <w:adjustRightInd/>
              <w:spacing w:after="0" w:line="240" w:lineRule="auto"/>
              <w:jc w:val="center"/>
              <w:textAlignment w:val="auto"/>
              <w:rPr>
                <w:rFonts w:ascii="Arial" w:hAnsi="Arial" w:cs="Arial"/>
                <w:color w:val="000000"/>
                <w:sz w:val="16"/>
                <w:szCs w:val="16"/>
                <w:lang w:eastAsia="sv-SE"/>
              </w:rPr>
            </w:pPr>
            <w:r w:rsidRPr="00552AB2">
              <w:rPr>
                <w:rFonts w:ascii="Arial" w:hAnsi="Arial" w:cs="Arial"/>
                <w:color w:val="000000"/>
                <w:sz w:val="16"/>
                <w:szCs w:val="16"/>
                <w:lang w:eastAsia="sv-SE"/>
              </w:rPr>
              <w:t>Kommuner och landsting</w:t>
            </w:r>
          </w:p>
        </w:tc>
        <w:tc>
          <w:tcPr>
            <w:tcW w:w="992" w:type="dxa"/>
            <w:tcBorders>
              <w:top w:val="single" w:sz="4" w:space="0" w:color="auto"/>
              <w:left w:val="nil"/>
              <w:bottom w:val="single" w:sz="4" w:space="0" w:color="auto"/>
              <w:right w:val="single" w:sz="4" w:space="0" w:color="auto"/>
            </w:tcBorders>
            <w:shd w:val="clear" w:color="auto" w:fill="auto"/>
            <w:noWrap/>
            <w:hideMark/>
          </w:tcPr>
          <w:p w:rsidR="00F8552B" w:rsidRPr="00552AB2" w:rsidRDefault="00F8552B" w:rsidP="00043A1A">
            <w:pPr>
              <w:overflowPunct/>
              <w:autoSpaceDE/>
              <w:autoSpaceDN/>
              <w:adjustRightInd/>
              <w:spacing w:after="0" w:line="240" w:lineRule="auto"/>
              <w:jc w:val="center"/>
              <w:textAlignment w:val="auto"/>
              <w:rPr>
                <w:rFonts w:ascii="Arial" w:hAnsi="Arial" w:cs="Arial"/>
                <w:color w:val="000000"/>
                <w:sz w:val="16"/>
                <w:szCs w:val="16"/>
                <w:lang w:eastAsia="sv-SE"/>
              </w:rPr>
            </w:pPr>
            <w:r w:rsidRPr="00552AB2">
              <w:rPr>
                <w:rFonts w:ascii="Arial" w:hAnsi="Arial" w:cs="Arial"/>
                <w:color w:val="000000"/>
                <w:sz w:val="16"/>
                <w:szCs w:val="16"/>
                <w:lang w:eastAsia="sv-SE"/>
              </w:rPr>
              <w:t>Samtliga sektorer</w:t>
            </w:r>
          </w:p>
        </w:tc>
      </w:tr>
      <w:tr w:rsidR="00F8552B" w:rsidRPr="005B593C" w:rsidTr="00043A1A">
        <w:trPr>
          <w:trHeight w:val="283"/>
        </w:trPr>
        <w:tc>
          <w:tcPr>
            <w:tcW w:w="4835" w:type="dxa"/>
            <w:tcBorders>
              <w:top w:val="nil"/>
              <w:left w:val="single" w:sz="4" w:space="0" w:color="auto"/>
              <w:bottom w:val="nil"/>
              <w:right w:val="nil"/>
            </w:tcBorders>
            <w:shd w:val="clear" w:color="auto" w:fill="FDE9D9"/>
            <w:noWrap/>
            <w:vAlign w:val="bottom"/>
            <w:hideMark/>
          </w:tcPr>
          <w:p w:rsidR="00F8552B" w:rsidRPr="00552AB2" w:rsidRDefault="00F8552B" w:rsidP="00043A1A">
            <w:pPr>
              <w:overflowPunct/>
              <w:autoSpaceDE/>
              <w:autoSpaceDN/>
              <w:adjustRightInd/>
              <w:spacing w:after="0" w:line="240" w:lineRule="auto"/>
              <w:textAlignment w:val="auto"/>
              <w:rPr>
                <w:rFonts w:ascii="Arial" w:hAnsi="Arial" w:cs="Arial"/>
                <w:color w:val="000000"/>
                <w:sz w:val="16"/>
                <w:szCs w:val="16"/>
                <w:lang w:eastAsia="sv-SE"/>
              </w:rPr>
            </w:pPr>
            <w:r w:rsidRPr="00552AB2">
              <w:rPr>
                <w:rFonts w:ascii="Arial" w:hAnsi="Arial" w:cs="Arial"/>
                <w:color w:val="000000"/>
                <w:sz w:val="16"/>
                <w:szCs w:val="16"/>
                <w:lang w:eastAsia="sv-SE"/>
              </w:rPr>
              <w:t>1. Lokal lönebildning utan centralt angivet utrymme</w:t>
            </w:r>
          </w:p>
        </w:tc>
        <w:tc>
          <w:tcPr>
            <w:tcW w:w="850" w:type="dxa"/>
            <w:tcBorders>
              <w:top w:val="nil"/>
              <w:left w:val="single" w:sz="4" w:space="0" w:color="auto"/>
              <w:bottom w:val="nil"/>
              <w:right w:val="single" w:sz="4" w:space="0" w:color="auto"/>
            </w:tcBorders>
            <w:shd w:val="clear" w:color="auto" w:fill="FDE9D9"/>
            <w:noWrap/>
            <w:vAlign w:val="bottom"/>
            <w:hideMark/>
          </w:tcPr>
          <w:p w:rsidR="00F8552B" w:rsidRPr="00552AB2" w:rsidRDefault="00F8552B" w:rsidP="00043A1A">
            <w:pPr>
              <w:overflowPunct/>
              <w:autoSpaceDE/>
              <w:autoSpaceDN/>
              <w:adjustRightInd/>
              <w:spacing w:after="0" w:line="240" w:lineRule="auto"/>
              <w:jc w:val="center"/>
              <w:textAlignment w:val="auto"/>
              <w:rPr>
                <w:rFonts w:ascii="Arial" w:hAnsi="Arial" w:cs="Arial"/>
                <w:color w:val="000000"/>
                <w:sz w:val="16"/>
                <w:szCs w:val="16"/>
                <w:lang w:eastAsia="sv-SE"/>
              </w:rPr>
            </w:pPr>
            <w:r w:rsidRPr="00552AB2">
              <w:rPr>
                <w:rFonts w:ascii="Arial" w:hAnsi="Arial" w:cs="Arial"/>
                <w:color w:val="000000"/>
                <w:sz w:val="16"/>
                <w:szCs w:val="16"/>
                <w:lang w:eastAsia="sv-SE"/>
              </w:rPr>
              <w:t>5 (3)</w:t>
            </w:r>
          </w:p>
        </w:tc>
        <w:tc>
          <w:tcPr>
            <w:tcW w:w="709" w:type="dxa"/>
            <w:tcBorders>
              <w:top w:val="nil"/>
              <w:left w:val="nil"/>
              <w:bottom w:val="nil"/>
              <w:right w:val="single" w:sz="4" w:space="0" w:color="auto"/>
            </w:tcBorders>
            <w:shd w:val="clear" w:color="auto" w:fill="FDE9D9"/>
            <w:noWrap/>
            <w:vAlign w:val="bottom"/>
            <w:hideMark/>
          </w:tcPr>
          <w:p w:rsidR="00F8552B" w:rsidRPr="00552AB2" w:rsidRDefault="00F8552B" w:rsidP="00043A1A">
            <w:pPr>
              <w:overflowPunct/>
              <w:autoSpaceDE/>
              <w:autoSpaceDN/>
              <w:adjustRightInd/>
              <w:spacing w:after="0" w:line="240" w:lineRule="auto"/>
              <w:jc w:val="center"/>
              <w:textAlignment w:val="auto"/>
              <w:rPr>
                <w:rFonts w:ascii="Arial" w:hAnsi="Arial" w:cs="Arial"/>
                <w:color w:val="000000"/>
                <w:sz w:val="16"/>
                <w:szCs w:val="16"/>
                <w:lang w:eastAsia="sv-SE"/>
              </w:rPr>
            </w:pPr>
            <w:r w:rsidRPr="00552AB2">
              <w:rPr>
                <w:rFonts w:ascii="Arial" w:hAnsi="Arial" w:cs="Arial"/>
                <w:color w:val="000000"/>
                <w:sz w:val="16"/>
                <w:szCs w:val="16"/>
                <w:lang w:eastAsia="sv-SE"/>
              </w:rPr>
              <w:t>3 (3)</w:t>
            </w:r>
          </w:p>
        </w:tc>
        <w:tc>
          <w:tcPr>
            <w:tcW w:w="1134" w:type="dxa"/>
            <w:tcBorders>
              <w:top w:val="nil"/>
              <w:left w:val="nil"/>
              <w:bottom w:val="nil"/>
              <w:right w:val="single" w:sz="4" w:space="0" w:color="auto"/>
            </w:tcBorders>
            <w:shd w:val="clear" w:color="auto" w:fill="FDE9D9"/>
            <w:noWrap/>
            <w:vAlign w:val="bottom"/>
            <w:hideMark/>
          </w:tcPr>
          <w:p w:rsidR="00F8552B" w:rsidRPr="00552AB2" w:rsidRDefault="00F8552B" w:rsidP="00043A1A">
            <w:pPr>
              <w:overflowPunct/>
              <w:autoSpaceDE/>
              <w:autoSpaceDN/>
              <w:adjustRightInd/>
              <w:spacing w:after="0" w:line="240" w:lineRule="auto"/>
              <w:jc w:val="center"/>
              <w:textAlignment w:val="auto"/>
              <w:rPr>
                <w:rFonts w:ascii="Arial" w:hAnsi="Arial" w:cs="Arial"/>
                <w:color w:val="000000"/>
                <w:sz w:val="16"/>
                <w:szCs w:val="16"/>
                <w:lang w:eastAsia="sv-SE"/>
              </w:rPr>
            </w:pPr>
            <w:r w:rsidRPr="00552AB2">
              <w:rPr>
                <w:rFonts w:ascii="Arial" w:hAnsi="Arial" w:cs="Arial"/>
                <w:color w:val="000000"/>
                <w:sz w:val="16"/>
                <w:szCs w:val="16"/>
                <w:lang w:eastAsia="sv-SE"/>
              </w:rPr>
              <w:t>5 (2)</w:t>
            </w:r>
          </w:p>
        </w:tc>
        <w:tc>
          <w:tcPr>
            <w:tcW w:w="992" w:type="dxa"/>
            <w:tcBorders>
              <w:top w:val="nil"/>
              <w:left w:val="nil"/>
              <w:bottom w:val="nil"/>
              <w:right w:val="single" w:sz="4" w:space="0" w:color="auto"/>
            </w:tcBorders>
            <w:shd w:val="clear" w:color="auto" w:fill="FDE9D9"/>
            <w:noWrap/>
            <w:vAlign w:val="bottom"/>
            <w:hideMark/>
          </w:tcPr>
          <w:p w:rsidR="00F8552B" w:rsidRPr="00552AB2" w:rsidRDefault="00F8552B" w:rsidP="00043A1A">
            <w:pPr>
              <w:overflowPunct/>
              <w:autoSpaceDE/>
              <w:autoSpaceDN/>
              <w:adjustRightInd/>
              <w:spacing w:after="0" w:line="240" w:lineRule="auto"/>
              <w:jc w:val="center"/>
              <w:textAlignment w:val="auto"/>
              <w:rPr>
                <w:rFonts w:ascii="Arial" w:hAnsi="Arial" w:cs="Arial"/>
                <w:color w:val="000000"/>
                <w:sz w:val="16"/>
                <w:szCs w:val="16"/>
                <w:lang w:eastAsia="sv-SE"/>
              </w:rPr>
            </w:pPr>
            <w:r w:rsidRPr="00552AB2">
              <w:rPr>
                <w:rFonts w:ascii="Arial" w:hAnsi="Arial" w:cs="Arial"/>
                <w:color w:val="000000"/>
                <w:sz w:val="16"/>
                <w:szCs w:val="16"/>
                <w:lang w:eastAsia="sv-SE"/>
              </w:rPr>
              <w:t>13 (8)</w:t>
            </w:r>
          </w:p>
        </w:tc>
      </w:tr>
      <w:tr w:rsidR="00F8552B" w:rsidRPr="005B593C" w:rsidTr="00043A1A">
        <w:trPr>
          <w:trHeight w:val="283"/>
        </w:trPr>
        <w:tc>
          <w:tcPr>
            <w:tcW w:w="4835" w:type="dxa"/>
            <w:tcBorders>
              <w:top w:val="nil"/>
              <w:left w:val="single" w:sz="4" w:space="0" w:color="auto"/>
              <w:bottom w:val="nil"/>
              <w:right w:val="nil"/>
            </w:tcBorders>
            <w:shd w:val="clear" w:color="auto" w:fill="auto"/>
            <w:noWrap/>
            <w:vAlign w:val="bottom"/>
            <w:hideMark/>
          </w:tcPr>
          <w:p w:rsidR="00F8552B" w:rsidRPr="00552AB2" w:rsidRDefault="00F8552B" w:rsidP="00043A1A">
            <w:pPr>
              <w:overflowPunct/>
              <w:autoSpaceDE/>
              <w:autoSpaceDN/>
              <w:adjustRightInd/>
              <w:spacing w:after="0" w:line="240" w:lineRule="auto"/>
              <w:textAlignment w:val="auto"/>
              <w:rPr>
                <w:rFonts w:ascii="Arial" w:hAnsi="Arial" w:cs="Arial"/>
                <w:color w:val="000000"/>
                <w:sz w:val="16"/>
                <w:szCs w:val="16"/>
                <w:lang w:eastAsia="sv-SE"/>
              </w:rPr>
            </w:pPr>
            <w:r w:rsidRPr="00552AB2">
              <w:rPr>
                <w:rFonts w:ascii="Arial" w:hAnsi="Arial" w:cs="Arial"/>
                <w:color w:val="000000"/>
                <w:sz w:val="16"/>
                <w:szCs w:val="16"/>
                <w:lang w:eastAsia="sv-SE"/>
              </w:rPr>
              <w:t>2. Lokal lönebildning med stupstock om utrymmets storlek</w:t>
            </w:r>
          </w:p>
        </w:tc>
        <w:tc>
          <w:tcPr>
            <w:tcW w:w="850" w:type="dxa"/>
            <w:tcBorders>
              <w:top w:val="nil"/>
              <w:left w:val="single" w:sz="4" w:space="0" w:color="auto"/>
              <w:bottom w:val="nil"/>
              <w:right w:val="single" w:sz="4" w:space="0" w:color="auto"/>
            </w:tcBorders>
            <w:shd w:val="clear" w:color="auto" w:fill="auto"/>
            <w:noWrap/>
            <w:vAlign w:val="bottom"/>
            <w:hideMark/>
          </w:tcPr>
          <w:p w:rsidR="00F8552B" w:rsidRPr="00552AB2" w:rsidRDefault="00F8552B" w:rsidP="00043A1A">
            <w:pPr>
              <w:overflowPunct/>
              <w:autoSpaceDE/>
              <w:autoSpaceDN/>
              <w:adjustRightInd/>
              <w:spacing w:after="0" w:line="240" w:lineRule="auto"/>
              <w:jc w:val="center"/>
              <w:textAlignment w:val="auto"/>
              <w:rPr>
                <w:rFonts w:ascii="Arial" w:hAnsi="Arial" w:cs="Arial"/>
                <w:color w:val="000000"/>
                <w:sz w:val="16"/>
                <w:szCs w:val="16"/>
                <w:lang w:eastAsia="sv-SE"/>
              </w:rPr>
            </w:pPr>
            <w:r w:rsidRPr="00552AB2">
              <w:rPr>
                <w:rFonts w:ascii="Arial" w:hAnsi="Arial" w:cs="Arial"/>
                <w:color w:val="000000"/>
                <w:sz w:val="16"/>
                <w:szCs w:val="16"/>
                <w:lang w:eastAsia="sv-SE"/>
              </w:rPr>
              <w:t>6 (5)</w:t>
            </w:r>
          </w:p>
        </w:tc>
        <w:tc>
          <w:tcPr>
            <w:tcW w:w="709" w:type="dxa"/>
            <w:tcBorders>
              <w:top w:val="nil"/>
              <w:left w:val="nil"/>
              <w:bottom w:val="nil"/>
              <w:right w:val="single" w:sz="4" w:space="0" w:color="auto"/>
            </w:tcBorders>
            <w:shd w:val="clear" w:color="auto" w:fill="auto"/>
            <w:noWrap/>
            <w:vAlign w:val="bottom"/>
            <w:hideMark/>
          </w:tcPr>
          <w:p w:rsidR="00F8552B" w:rsidRPr="00552AB2" w:rsidRDefault="00F8552B" w:rsidP="00043A1A">
            <w:pPr>
              <w:overflowPunct/>
              <w:autoSpaceDE/>
              <w:autoSpaceDN/>
              <w:adjustRightInd/>
              <w:spacing w:after="0" w:line="240" w:lineRule="auto"/>
              <w:jc w:val="center"/>
              <w:textAlignment w:val="auto"/>
              <w:rPr>
                <w:rFonts w:ascii="Arial" w:hAnsi="Arial" w:cs="Arial"/>
                <w:color w:val="000000"/>
                <w:sz w:val="16"/>
                <w:szCs w:val="16"/>
                <w:lang w:eastAsia="sv-SE"/>
              </w:rPr>
            </w:pPr>
            <w:r w:rsidRPr="00552AB2">
              <w:rPr>
                <w:rFonts w:ascii="Arial" w:hAnsi="Arial" w:cs="Arial"/>
                <w:color w:val="000000"/>
                <w:sz w:val="16"/>
                <w:szCs w:val="16"/>
                <w:lang w:eastAsia="sv-SE"/>
              </w:rPr>
              <w:t>5 (5)</w:t>
            </w:r>
          </w:p>
        </w:tc>
        <w:tc>
          <w:tcPr>
            <w:tcW w:w="1134" w:type="dxa"/>
            <w:tcBorders>
              <w:top w:val="nil"/>
              <w:left w:val="nil"/>
              <w:bottom w:val="nil"/>
              <w:right w:val="single" w:sz="4" w:space="0" w:color="auto"/>
            </w:tcBorders>
            <w:shd w:val="clear" w:color="auto" w:fill="auto"/>
            <w:noWrap/>
            <w:vAlign w:val="bottom"/>
            <w:hideMark/>
          </w:tcPr>
          <w:p w:rsidR="00F8552B" w:rsidRPr="00552AB2" w:rsidRDefault="00F8552B" w:rsidP="00043A1A">
            <w:pPr>
              <w:overflowPunct/>
              <w:autoSpaceDE/>
              <w:autoSpaceDN/>
              <w:adjustRightInd/>
              <w:spacing w:after="0" w:line="240" w:lineRule="auto"/>
              <w:jc w:val="center"/>
              <w:textAlignment w:val="auto"/>
              <w:rPr>
                <w:rFonts w:ascii="Arial" w:hAnsi="Arial" w:cs="Arial"/>
                <w:color w:val="000000"/>
                <w:sz w:val="16"/>
                <w:szCs w:val="16"/>
                <w:lang w:eastAsia="sv-SE"/>
              </w:rPr>
            </w:pPr>
            <w:r w:rsidRPr="00552AB2">
              <w:rPr>
                <w:rFonts w:ascii="Arial" w:hAnsi="Arial" w:cs="Arial"/>
                <w:color w:val="000000"/>
                <w:sz w:val="16"/>
                <w:szCs w:val="16"/>
                <w:lang w:eastAsia="sv-SE"/>
              </w:rPr>
              <w:t>12 (15)</w:t>
            </w:r>
          </w:p>
        </w:tc>
        <w:tc>
          <w:tcPr>
            <w:tcW w:w="992" w:type="dxa"/>
            <w:tcBorders>
              <w:top w:val="nil"/>
              <w:left w:val="nil"/>
              <w:bottom w:val="nil"/>
              <w:right w:val="single" w:sz="4" w:space="0" w:color="auto"/>
            </w:tcBorders>
            <w:shd w:val="clear" w:color="auto" w:fill="auto"/>
            <w:noWrap/>
            <w:vAlign w:val="bottom"/>
            <w:hideMark/>
          </w:tcPr>
          <w:p w:rsidR="00F8552B" w:rsidRPr="00552AB2" w:rsidRDefault="00F8552B" w:rsidP="00043A1A">
            <w:pPr>
              <w:overflowPunct/>
              <w:autoSpaceDE/>
              <w:autoSpaceDN/>
              <w:adjustRightInd/>
              <w:spacing w:after="0" w:line="240" w:lineRule="auto"/>
              <w:jc w:val="center"/>
              <w:textAlignment w:val="auto"/>
              <w:rPr>
                <w:rFonts w:ascii="Arial" w:hAnsi="Arial" w:cs="Arial"/>
                <w:color w:val="000000"/>
                <w:sz w:val="16"/>
                <w:szCs w:val="16"/>
                <w:lang w:eastAsia="sv-SE"/>
              </w:rPr>
            </w:pPr>
            <w:r w:rsidRPr="00552AB2">
              <w:rPr>
                <w:rFonts w:ascii="Arial" w:hAnsi="Arial" w:cs="Arial"/>
                <w:color w:val="000000"/>
                <w:sz w:val="16"/>
                <w:szCs w:val="16"/>
                <w:lang w:eastAsia="sv-SE"/>
              </w:rPr>
              <w:t>23 (25)</w:t>
            </w:r>
          </w:p>
        </w:tc>
      </w:tr>
      <w:tr w:rsidR="00F8552B" w:rsidRPr="005B593C" w:rsidTr="00043A1A">
        <w:trPr>
          <w:trHeight w:val="454"/>
        </w:trPr>
        <w:tc>
          <w:tcPr>
            <w:tcW w:w="4835" w:type="dxa"/>
            <w:tcBorders>
              <w:top w:val="nil"/>
              <w:left w:val="single" w:sz="4" w:space="0" w:color="auto"/>
              <w:bottom w:val="nil"/>
              <w:right w:val="nil"/>
            </w:tcBorders>
            <w:shd w:val="clear" w:color="auto" w:fill="FDE9D9"/>
            <w:noWrap/>
            <w:vAlign w:val="bottom"/>
            <w:hideMark/>
          </w:tcPr>
          <w:p w:rsidR="00F8552B" w:rsidRPr="00552AB2" w:rsidRDefault="00F8552B" w:rsidP="00043A1A">
            <w:pPr>
              <w:overflowPunct/>
              <w:autoSpaceDE/>
              <w:autoSpaceDN/>
              <w:adjustRightInd/>
              <w:spacing w:after="0" w:line="240" w:lineRule="auto"/>
              <w:textAlignment w:val="auto"/>
              <w:rPr>
                <w:rFonts w:ascii="Arial" w:hAnsi="Arial" w:cs="Arial"/>
                <w:color w:val="000000"/>
                <w:sz w:val="16"/>
                <w:szCs w:val="16"/>
                <w:lang w:eastAsia="sv-SE"/>
              </w:rPr>
            </w:pPr>
            <w:r w:rsidRPr="00552AB2">
              <w:rPr>
                <w:rFonts w:ascii="Arial" w:hAnsi="Arial" w:cs="Arial"/>
                <w:color w:val="000000"/>
                <w:sz w:val="16"/>
                <w:szCs w:val="16"/>
                <w:lang w:eastAsia="sv-SE"/>
              </w:rPr>
              <w:t>3. Lokal lönebildning med stupstock om utrymmets storlek och någon form av individgaranti</w:t>
            </w:r>
          </w:p>
        </w:tc>
        <w:tc>
          <w:tcPr>
            <w:tcW w:w="850" w:type="dxa"/>
            <w:tcBorders>
              <w:top w:val="nil"/>
              <w:left w:val="single" w:sz="4" w:space="0" w:color="auto"/>
              <w:bottom w:val="nil"/>
              <w:right w:val="single" w:sz="4" w:space="0" w:color="auto"/>
            </w:tcBorders>
            <w:shd w:val="clear" w:color="auto" w:fill="FDE9D9"/>
            <w:noWrap/>
            <w:vAlign w:val="bottom"/>
            <w:hideMark/>
          </w:tcPr>
          <w:p w:rsidR="00F8552B" w:rsidRPr="00552AB2" w:rsidRDefault="00F8552B" w:rsidP="00043A1A">
            <w:pPr>
              <w:overflowPunct/>
              <w:autoSpaceDE/>
              <w:autoSpaceDN/>
              <w:adjustRightInd/>
              <w:spacing w:after="0" w:line="240" w:lineRule="auto"/>
              <w:jc w:val="center"/>
              <w:textAlignment w:val="auto"/>
              <w:rPr>
                <w:rFonts w:ascii="Arial" w:hAnsi="Arial" w:cs="Arial"/>
                <w:color w:val="000000"/>
                <w:sz w:val="16"/>
                <w:szCs w:val="16"/>
                <w:lang w:eastAsia="sv-SE"/>
              </w:rPr>
            </w:pPr>
            <w:r w:rsidRPr="00552AB2">
              <w:rPr>
                <w:rFonts w:ascii="Arial" w:hAnsi="Arial" w:cs="Arial"/>
                <w:color w:val="000000"/>
                <w:sz w:val="16"/>
                <w:szCs w:val="16"/>
                <w:lang w:eastAsia="sv-SE"/>
              </w:rPr>
              <w:t>4 (1)</w:t>
            </w:r>
          </w:p>
        </w:tc>
        <w:tc>
          <w:tcPr>
            <w:tcW w:w="709" w:type="dxa"/>
            <w:tcBorders>
              <w:top w:val="nil"/>
              <w:left w:val="nil"/>
              <w:bottom w:val="nil"/>
              <w:right w:val="single" w:sz="4" w:space="0" w:color="auto"/>
            </w:tcBorders>
            <w:shd w:val="clear" w:color="auto" w:fill="FDE9D9"/>
            <w:noWrap/>
            <w:vAlign w:val="bottom"/>
            <w:hideMark/>
          </w:tcPr>
          <w:p w:rsidR="00F8552B" w:rsidRPr="00552AB2" w:rsidRDefault="00F8552B" w:rsidP="00043A1A">
            <w:pPr>
              <w:overflowPunct/>
              <w:autoSpaceDE/>
              <w:autoSpaceDN/>
              <w:adjustRightInd/>
              <w:spacing w:after="0" w:line="240" w:lineRule="auto"/>
              <w:jc w:val="center"/>
              <w:textAlignment w:val="auto"/>
              <w:rPr>
                <w:rFonts w:ascii="Arial" w:hAnsi="Arial" w:cs="Arial"/>
                <w:color w:val="000000"/>
                <w:sz w:val="16"/>
                <w:szCs w:val="16"/>
                <w:lang w:eastAsia="sv-SE"/>
              </w:rPr>
            </w:pPr>
            <w:r w:rsidRPr="00552AB2">
              <w:rPr>
                <w:rFonts w:ascii="Arial" w:hAnsi="Arial" w:cs="Arial"/>
                <w:color w:val="000000"/>
                <w:sz w:val="16"/>
                <w:szCs w:val="16"/>
                <w:lang w:eastAsia="sv-SE"/>
              </w:rPr>
              <w:t> </w:t>
            </w:r>
          </w:p>
        </w:tc>
        <w:tc>
          <w:tcPr>
            <w:tcW w:w="1134" w:type="dxa"/>
            <w:tcBorders>
              <w:top w:val="nil"/>
              <w:left w:val="nil"/>
              <w:bottom w:val="nil"/>
              <w:right w:val="single" w:sz="4" w:space="0" w:color="auto"/>
            </w:tcBorders>
            <w:shd w:val="clear" w:color="auto" w:fill="FDE9D9"/>
            <w:noWrap/>
            <w:vAlign w:val="bottom"/>
            <w:hideMark/>
          </w:tcPr>
          <w:p w:rsidR="00F8552B" w:rsidRPr="00552AB2" w:rsidRDefault="00F8552B" w:rsidP="00043A1A">
            <w:pPr>
              <w:overflowPunct/>
              <w:autoSpaceDE/>
              <w:autoSpaceDN/>
              <w:adjustRightInd/>
              <w:spacing w:after="0" w:line="240" w:lineRule="auto"/>
              <w:jc w:val="center"/>
              <w:textAlignment w:val="auto"/>
              <w:rPr>
                <w:rFonts w:ascii="Arial" w:hAnsi="Arial" w:cs="Arial"/>
                <w:color w:val="000000"/>
                <w:sz w:val="16"/>
                <w:szCs w:val="16"/>
                <w:lang w:eastAsia="sv-SE"/>
              </w:rPr>
            </w:pPr>
            <w:r w:rsidRPr="00552AB2">
              <w:rPr>
                <w:rFonts w:ascii="Arial" w:hAnsi="Arial" w:cs="Arial"/>
                <w:color w:val="000000"/>
                <w:sz w:val="16"/>
                <w:szCs w:val="16"/>
                <w:lang w:eastAsia="sv-SE"/>
              </w:rPr>
              <w:t> </w:t>
            </w:r>
          </w:p>
        </w:tc>
        <w:tc>
          <w:tcPr>
            <w:tcW w:w="992" w:type="dxa"/>
            <w:tcBorders>
              <w:top w:val="nil"/>
              <w:left w:val="nil"/>
              <w:bottom w:val="nil"/>
              <w:right w:val="single" w:sz="4" w:space="0" w:color="auto"/>
            </w:tcBorders>
            <w:shd w:val="clear" w:color="auto" w:fill="FDE9D9"/>
            <w:noWrap/>
            <w:vAlign w:val="bottom"/>
            <w:hideMark/>
          </w:tcPr>
          <w:p w:rsidR="00F8552B" w:rsidRPr="00552AB2" w:rsidRDefault="00F8552B" w:rsidP="00043A1A">
            <w:pPr>
              <w:overflowPunct/>
              <w:autoSpaceDE/>
              <w:autoSpaceDN/>
              <w:adjustRightInd/>
              <w:spacing w:after="0" w:line="240" w:lineRule="auto"/>
              <w:jc w:val="center"/>
              <w:textAlignment w:val="auto"/>
              <w:rPr>
                <w:rFonts w:ascii="Arial" w:hAnsi="Arial" w:cs="Arial"/>
                <w:color w:val="000000"/>
                <w:sz w:val="16"/>
                <w:szCs w:val="16"/>
                <w:lang w:eastAsia="sv-SE"/>
              </w:rPr>
            </w:pPr>
            <w:r w:rsidRPr="00552AB2">
              <w:rPr>
                <w:rFonts w:ascii="Arial" w:hAnsi="Arial" w:cs="Arial"/>
                <w:color w:val="000000"/>
                <w:sz w:val="16"/>
                <w:szCs w:val="16"/>
                <w:lang w:eastAsia="sv-SE"/>
              </w:rPr>
              <w:t>4 (1)</w:t>
            </w:r>
          </w:p>
        </w:tc>
      </w:tr>
      <w:tr w:rsidR="00F8552B" w:rsidRPr="005B593C" w:rsidTr="00043A1A">
        <w:trPr>
          <w:trHeight w:val="283"/>
        </w:trPr>
        <w:tc>
          <w:tcPr>
            <w:tcW w:w="4835" w:type="dxa"/>
            <w:tcBorders>
              <w:top w:val="nil"/>
              <w:left w:val="single" w:sz="4" w:space="0" w:color="auto"/>
              <w:bottom w:val="nil"/>
              <w:right w:val="nil"/>
            </w:tcBorders>
            <w:shd w:val="clear" w:color="auto" w:fill="auto"/>
            <w:noWrap/>
            <w:vAlign w:val="bottom"/>
            <w:hideMark/>
          </w:tcPr>
          <w:p w:rsidR="00F8552B" w:rsidRPr="00552AB2" w:rsidRDefault="00F8552B" w:rsidP="00043A1A">
            <w:pPr>
              <w:overflowPunct/>
              <w:autoSpaceDE/>
              <w:autoSpaceDN/>
              <w:adjustRightInd/>
              <w:spacing w:after="0" w:line="240" w:lineRule="auto"/>
              <w:textAlignment w:val="auto"/>
              <w:rPr>
                <w:rFonts w:ascii="Arial" w:hAnsi="Arial" w:cs="Arial"/>
                <w:color w:val="000000"/>
                <w:sz w:val="16"/>
                <w:szCs w:val="16"/>
                <w:lang w:eastAsia="sv-SE"/>
              </w:rPr>
            </w:pPr>
            <w:r w:rsidRPr="00552AB2">
              <w:rPr>
                <w:rFonts w:ascii="Arial" w:hAnsi="Arial" w:cs="Arial"/>
                <w:color w:val="000000"/>
                <w:sz w:val="16"/>
                <w:szCs w:val="16"/>
                <w:lang w:eastAsia="sv-SE"/>
              </w:rPr>
              <w:t>4. Lönepott utan individgaranti</w:t>
            </w:r>
          </w:p>
        </w:tc>
        <w:tc>
          <w:tcPr>
            <w:tcW w:w="850" w:type="dxa"/>
            <w:tcBorders>
              <w:top w:val="nil"/>
              <w:left w:val="single" w:sz="4" w:space="0" w:color="auto"/>
              <w:bottom w:val="nil"/>
              <w:right w:val="single" w:sz="4" w:space="0" w:color="auto"/>
            </w:tcBorders>
            <w:shd w:val="clear" w:color="auto" w:fill="auto"/>
            <w:noWrap/>
            <w:vAlign w:val="bottom"/>
            <w:hideMark/>
          </w:tcPr>
          <w:p w:rsidR="00F8552B" w:rsidRPr="00552AB2" w:rsidRDefault="00F8552B" w:rsidP="00043A1A">
            <w:pPr>
              <w:overflowPunct/>
              <w:autoSpaceDE/>
              <w:autoSpaceDN/>
              <w:adjustRightInd/>
              <w:spacing w:after="0" w:line="240" w:lineRule="auto"/>
              <w:jc w:val="center"/>
              <w:textAlignment w:val="auto"/>
              <w:rPr>
                <w:rFonts w:ascii="Arial" w:hAnsi="Arial" w:cs="Arial"/>
                <w:color w:val="000000"/>
                <w:sz w:val="16"/>
                <w:szCs w:val="16"/>
                <w:lang w:eastAsia="sv-SE"/>
              </w:rPr>
            </w:pPr>
            <w:r w:rsidRPr="00552AB2">
              <w:rPr>
                <w:rFonts w:ascii="Arial" w:hAnsi="Arial" w:cs="Arial"/>
                <w:color w:val="000000"/>
                <w:sz w:val="16"/>
                <w:szCs w:val="16"/>
                <w:lang w:eastAsia="sv-SE"/>
              </w:rPr>
              <w:t>9 (7)</w:t>
            </w:r>
          </w:p>
        </w:tc>
        <w:tc>
          <w:tcPr>
            <w:tcW w:w="709" w:type="dxa"/>
            <w:tcBorders>
              <w:top w:val="nil"/>
              <w:left w:val="nil"/>
              <w:bottom w:val="nil"/>
              <w:right w:val="single" w:sz="4" w:space="0" w:color="auto"/>
            </w:tcBorders>
            <w:shd w:val="clear" w:color="auto" w:fill="auto"/>
            <w:noWrap/>
            <w:vAlign w:val="bottom"/>
            <w:hideMark/>
          </w:tcPr>
          <w:p w:rsidR="00F8552B" w:rsidRPr="00552AB2" w:rsidRDefault="00F8552B" w:rsidP="00043A1A">
            <w:pPr>
              <w:overflowPunct/>
              <w:autoSpaceDE/>
              <w:autoSpaceDN/>
              <w:adjustRightInd/>
              <w:spacing w:after="0" w:line="240" w:lineRule="auto"/>
              <w:jc w:val="center"/>
              <w:textAlignment w:val="auto"/>
              <w:rPr>
                <w:rFonts w:ascii="Arial" w:hAnsi="Arial" w:cs="Arial"/>
                <w:color w:val="000000"/>
                <w:sz w:val="16"/>
                <w:szCs w:val="16"/>
                <w:lang w:eastAsia="sv-SE"/>
              </w:rPr>
            </w:pPr>
            <w:r w:rsidRPr="00552AB2">
              <w:rPr>
                <w:rFonts w:ascii="Arial" w:hAnsi="Arial" w:cs="Arial"/>
                <w:color w:val="000000"/>
                <w:sz w:val="16"/>
                <w:szCs w:val="16"/>
                <w:lang w:eastAsia="sv-SE"/>
              </w:rPr>
              <w:t> </w:t>
            </w:r>
          </w:p>
        </w:tc>
        <w:tc>
          <w:tcPr>
            <w:tcW w:w="1134" w:type="dxa"/>
            <w:tcBorders>
              <w:top w:val="nil"/>
              <w:left w:val="nil"/>
              <w:bottom w:val="nil"/>
              <w:right w:val="single" w:sz="4" w:space="0" w:color="auto"/>
            </w:tcBorders>
            <w:shd w:val="clear" w:color="auto" w:fill="auto"/>
            <w:noWrap/>
            <w:vAlign w:val="bottom"/>
            <w:hideMark/>
          </w:tcPr>
          <w:p w:rsidR="00F8552B" w:rsidRPr="00552AB2" w:rsidRDefault="00F8552B" w:rsidP="00043A1A">
            <w:pPr>
              <w:overflowPunct/>
              <w:autoSpaceDE/>
              <w:autoSpaceDN/>
              <w:adjustRightInd/>
              <w:spacing w:after="0" w:line="240" w:lineRule="auto"/>
              <w:jc w:val="center"/>
              <w:textAlignment w:val="auto"/>
              <w:rPr>
                <w:rFonts w:ascii="Arial" w:hAnsi="Arial" w:cs="Arial"/>
                <w:color w:val="000000"/>
                <w:sz w:val="16"/>
                <w:szCs w:val="16"/>
                <w:lang w:eastAsia="sv-SE"/>
              </w:rPr>
            </w:pPr>
            <w:r w:rsidRPr="00552AB2">
              <w:rPr>
                <w:rFonts w:ascii="Arial" w:hAnsi="Arial" w:cs="Arial"/>
                <w:color w:val="000000"/>
                <w:sz w:val="16"/>
                <w:szCs w:val="16"/>
                <w:lang w:eastAsia="sv-SE"/>
              </w:rPr>
              <w:t> </w:t>
            </w:r>
          </w:p>
        </w:tc>
        <w:tc>
          <w:tcPr>
            <w:tcW w:w="992" w:type="dxa"/>
            <w:tcBorders>
              <w:top w:val="nil"/>
              <w:left w:val="nil"/>
              <w:bottom w:val="nil"/>
              <w:right w:val="single" w:sz="4" w:space="0" w:color="auto"/>
            </w:tcBorders>
            <w:shd w:val="clear" w:color="auto" w:fill="auto"/>
            <w:noWrap/>
            <w:vAlign w:val="bottom"/>
            <w:hideMark/>
          </w:tcPr>
          <w:p w:rsidR="00F8552B" w:rsidRPr="00552AB2" w:rsidRDefault="00F8552B" w:rsidP="00043A1A">
            <w:pPr>
              <w:overflowPunct/>
              <w:autoSpaceDE/>
              <w:autoSpaceDN/>
              <w:adjustRightInd/>
              <w:spacing w:after="0" w:line="240" w:lineRule="auto"/>
              <w:jc w:val="center"/>
              <w:textAlignment w:val="auto"/>
              <w:rPr>
                <w:rFonts w:ascii="Arial" w:hAnsi="Arial" w:cs="Arial"/>
                <w:color w:val="000000"/>
                <w:sz w:val="16"/>
                <w:szCs w:val="16"/>
                <w:lang w:eastAsia="sv-SE"/>
              </w:rPr>
            </w:pPr>
            <w:r w:rsidRPr="00552AB2">
              <w:rPr>
                <w:rFonts w:ascii="Arial" w:hAnsi="Arial" w:cs="Arial"/>
                <w:color w:val="000000"/>
                <w:sz w:val="16"/>
                <w:szCs w:val="16"/>
                <w:lang w:eastAsia="sv-SE"/>
              </w:rPr>
              <w:t>9 (7)</w:t>
            </w:r>
          </w:p>
        </w:tc>
      </w:tr>
      <w:tr w:rsidR="00F8552B" w:rsidRPr="005B593C" w:rsidTr="00043A1A">
        <w:trPr>
          <w:trHeight w:val="283"/>
        </w:trPr>
        <w:tc>
          <w:tcPr>
            <w:tcW w:w="4835" w:type="dxa"/>
            <w:tcBorders>
              <w:top w:val="nil"/>
              <w:left w:val="single" w:sz="4" w:space="0" w:color="auto"/>
              <w:bottom w:val="nil"/>
              <w:right w:val="nil"/>
            </w:tcBorders>
            <w:shd w:val="clear" w:color="auto" w:fill="FDE9D9"/>
            <w:noWrap/>
            <w:vAlign w:val="bottom"/>
            <w:hideMark/>
          </w:tcPr>
          <w:p w:rsidR="00F8552B" w:rsidRPr="00552AB2" w:rsidRDefault="00F8552B" w:rsidP="00043A1A">
            <w:pPr>
              <w:overflowPunct/>
              <w:autoSpaceDE/>
              <w:autoSpaceDN/>
              <w:adjustRightInd/>
              <w:spacing w:after="0" w:line="240" w:lineRule="auto"/>
              <w:textAlignment w:val="auto"/>
              <w:rPr>
                <w:rFonts w:ascii="Arial" w:hAnsi="Arial" w:cs="Arial"/>
                <w:color w:val="000000"/>
                <w:sz w:val="16"/>
                <w:szCs w:val="16"/>
                <w:lang w:eastAsia="sv-SE"/>
              </w:rPr>
            </w:pPr>
            <w:r w:rsidRPr="00552AB2">
              <w:rPr>
                <w:rFonts w:ascii="Arial" w:hAnsi="Arial" w:cs="Arial"/>
                <w:color w:val="000000"/>
                <w:sz w:val="16"/>
                <w:szCs w:val="16"/>
                <w:lang w:eastAsia="sv-SE"/>
              </w:rPr>
              <w:t>5. Lönepott med individgaranti alt. stupstock om individgaranti</w:t>
            </w:r>
          </w:p>
        </w:tc>
        <w:tc>
          <w:tcPr>
            <w:tcW w:w="850" w:type="dxa"/>
            <w:tcBorders>
              <w:top w:val="nil"/>
              <w:left w:val="single" w:sz="4" w:space="0" w:color="auto"/>
              <w:bottom w:val="nil"/>
              <w:right w:val="single" w:sz="4" w:space="0" w:color="auto"/>
            </w:tcBorders>
            <w:shd w:val="clear" w:color="auto" w:fill="FDE9D9"/>
            <w:noWrap/>
            <w:vAlign w:val="bottom"/>
            <w:hideMark/>
          </w:tcPr>
          <w:p w:rsidR="00F8552B" w:rsidRPr="00552AB2" w:rsidRDefault="00F8552B" w:rsidP="00043A1A">
            <w:pPr>
              <w:overflowPunct/>
              <w:autoSpaceDE/>
              <w:autoSpaceDN/>
              <w:adjustRightInd/>
              <w:spacing w:after="0" w:line="240" w:lineRule="auto"/>
              <w:jc w:val="center"/>
              <w:textAlignment w:val="auto"/>
              <w:rPr>
                <w:rFonts w:ascii="Arial" w:hAnsi="Arial" w:cs="Arial"/>
                <w:color w:val="000000"/>
                <w:sz w:val="16"/>
                <w:szCs w:val="16"/>
                <w:lang w:eastAsia="sv-SE"/>
              </w:rPr>
            </w:pPr>
            <w:r w:rsidRPr="00552AB2">
              <w:rPr>
                <w:rFonts w:ascii="Arial" w:hAnsi="Arial" w:cs="Arial"/>
                <w:color w:val="000000"/>
                <w:sz w:val="16"/>
                <w:szCs w:val="16"/>
                <w:lang w:eastAsia="sv-SE"/>
              </w:rPr>
              <w:t>18 (24)</w:t>
            </w:r>
          </w:p>
        </w:tc>
        <w:tc>
          <w:tcPr>
            <w:tcW w:w="709" w:type="dxa"/>
            <w:tcBorders>
              <w:top w:val="nil"/>
              <w:left w:val="nil"/>
              <w:bottom w:val="nil"/>
              <w:right w:val="single" w:sz="4" w:space="0" w:color="auto"/>
            </w:tcBorders>
            <w:shd w:val="clear" w:color="auto" w:fill="FDE9D9"/>
            <w:noWrap/>
            <w:vAlign w:val="bottom"/>
            <w:hideMark/>
          </w:tcPr>
          <w:p w:rsidR="00F8552B" w:rsidRPr="00552AB2" w:rsidRDefault="00F8552B" w:rsidP="00043A1A">
            <w:pPr>
              <w:overflowPunct/>
              <w:autoSpaceDE/>
              <w:autoSpaceDN/>
              <w:adjustRightInd/>
              <w:spacing w:after="0" w:line="240" w:lineRule="auto"/>
              <w:jc w:val="center"/>
              <w:textAlignment w:val="auto"/>
              <w:rPr>
                <w:rFonts w:ascii="Arial" w:hAnsi="Arial" w:cs="Arial"/>
                <w:color w:val="000000"/>
                <w:sz w:val="16"/>
                <w:szCs w:val="16"/>
                <w:lang w:eastAsia="sv-SE"/>
              </w:rPr>
            </w:pPr>
            <w:r w:rsidRPr="00552AB2">
              <w:rPr>
                <w:rFonts w:ascii="Arial" w:hAnsi="Arial" w:cs="Arial"/>
                <w:color w:val="000000"/>
                <w:sz w:val="16"/>
                <w:szCs w:val="16"/>
                <w:lang w:eastAsia="sv-SE"/>
              </w:rPr>
              <w:t> </w:t>
            </w:r>
          </w:p>
        </w:tc>
        <w:tc>
          <w:tcPr>
            <w:tcW w:w="1134" w:type="dxa"/>
            <w:tcBorders>
              <w:top w:val="nil"/>
              <w:left w:val="nil"/>
              <w:bottom w:val="nil"/>
              <w:right w:val="single" w:sz="4" w:space="0" w:color="auto"/>
            </w:tcBorders>
            <w:shd w:val="clear" w:color="auto" w:fill="FDE9D9"/>
            <w:noWrap/>
            <w:vAlign w:val="bottom"/>
            <w:hideMark/>
          </w:tcPr>
          <w:p w:rsidR="00F8552B" w:rsidRPr="00552AB2" w:rsidRDefault="00F8552B" w:rsidP="00043A1A">
            <w:pPr>
              <w:overflowPunct/>
              <w:autoSpaceDE/>
              <w:autoSpaceDN/>
              <w:adjustRightInd/>
              <w:spacing w:after="0" w:line="240" w:lineRule="auto"/>
              <w:jc w:val="center"/>
              <w:textAlignment w:val="auto"/>
              <w:rPr>
                <w:rFonts w:ascii="Arial" w:hAnsi="Arial" w:cs="Arial"/>
                <w:color w:val="000000"/>
                <w:sz w:val="16"/>
                <w:szCs w:val="16"/>
                <w:lang w:eastAsia="sv-SE"/>
              </w:rPr>
            </w:pPr>
            <w:r w:rsidRPr="00552AB2">
              <w:rPr>
                <w:rFonts w:ascii="Arial" w:hAnsi="Arial" w:cs="Arial"/>
                <w:color w:val="000000"/>
                <w:sz w:val="16"/>
                <w:szCs w:val="16"/>
                <w:lang w:eastAsia="sv-SE"/>
              </w:rPr>
              <w:t>11 (19)</w:t>
            </w:r>
          </w:p>
        </w:tc>
        <w:tc>
          <w:tcPr>
            <w:tcW w:w="992" w:type="dxa"/>
            <w:tcBorders>
              <w:top w:val="nil"/>
              <w:left w:val="nil"/>
              <w:bottom w:val="nil"/>
              <w:right w:val="single" w:sz="4" w:space="0" w:color="auto"/>
            </w:tcBorders>
            <w:shd w:val="clear" w:color="auto" w:fill="FDE9D9"/>
            <w:noWrap/>
            <w:vAlign w:val="bottom"/>
            <w:hideMark/>
          </w:tcPr>
          <w:p w:rsidR="00F8552B" w:rsidRPr="00552AB2" w:rsidRDefault="00F8552B" w:rsidP="00043A1A">
            <w:pPr>
              <w:overflowPunct/>
              <w:autoSpaceDE/>
              <w:autoSpaceDN/>
              <w:adjustRightInd/>
              <w:spacing w:after="0" w:line="240" w:lineRule="auto"/>
              <w:jc w:val="center"/>
              <w:textAlignment w:val="auto"/>
              <w:rPr>
                <w:rFonts w:ascii="Arial" w:hAnsi="Arial" w:cs="Arial"/>
                <w:color w:val="000000"/>
                <w:sz w:val="16"/>
                <w:szCs w:val="16"/>
                <w:lang w:eastAsia="sv-SE"/>
              </w:rPr>
            </w:pPr>
            <w:r w:rsidRPr="00552AB2">
              <w:rPr>
                <w:rFonts w:ascii="Arial" w:hAnsi="Arial" w:cs="Arial"/>
                <w:color w:val="000000"/>
                <w:sz w:val="16"/>
                <w:szCs w:val="16"/>
                <w:lang w:eastAsia="sv-SE"/>
              </w:rPr>
              <w:t>29 (43)</w:t>
            </w:r>
          </w:p>
        </w:tc>
      </w:tr>
      <w:tr w:rsidR="00F8552B" w:rsidRPr="005B593C" w:rsidTr="00043A1A">
        <w:trPr>
          <w:trHeight w:val="283"/>
        </w:trPr>
        <w:tc>
          <w:tcPr>
            <w:tcW w:w="4835" w:type="dxa"/>
            <w:tcBorders>
              <w:top w:val="nil"/>
              <w:left w:val="single" w:sz="4" w:space="0" w:color="auto"/>
              <w:bottom w:val="nil"/>
              <w:right w:val="nil"/>
            </w:tcBorders>
            <w:shd w:val="clear" w:color="auto" w:fill="auto"/>
            <w:noWrap/>
            <w:vAlign w:val="bottom"/>
            <w:hideMark/>
          </w:tcPr>
          <w:p w:rsidR="00F8552B" w:rsidRPr="00552AB2" w:rsidRDefault="00F8552B" w:rsidP="00043A1A">
            <w:pPr>
              <w:overflowPunct/>
              <w:autoSpaceDE/>
              <w:autoSpaceDN/>
              <w:adjustRightInd/>
              <w:spacing w:after="0" w:line="240" w:lineRule="auto"/>
              <w:textAlignment w:val="auto"/>
              <w:rPr>
                <w:rFonts w:ascii="Arial" w:hAnsi="Arial" w:cs="Arial"/>
                <w:color w:val="000000"/>
                <w:sz w:val="16"/>
                <w:szCs w:val="16"/>
                <w:lang w:eastAsia="sv-SE"/>
              </w:rPr>
            </w:pPr>
            <w:r w:rsidRPr="00552AB2">
              <w:rPr>
                <w:rFonts w:ascii="Arial" w:hAnsi="Arial" w:cs="Arial"/>
                <w:color w:val="000000"/>
                <w:sz w:val="16"/>
                <w:szCs w:val="16"/>
                <w:lang w:eastAsia="sv-SE"/>
              </w:rPr>
              <w:t>6. Generell utläggning och lönepott</w:t>
            </w:r>
          </w:p>
        </w:tc>
        <w:tc>
          <w:tcPr>
            <w:tcW w:w="850" w:type="dxa"/>
            <w:tcBorders>
              <w:top w:val="nil"/>
              <w:left w:val="single" w:sz="4" w:space="0" w:color="auto"/>
              <w:bottom w:val="nil"/>
              <w:right w:val="single" w:sz="4" w:space="0" w:color="auto"/>
            </w:tcBorders>
            <w:shd w:val="clear" w:color="auto" w:fill="auto"/>
            <w:noWrap/>
            <w:vAlign w:val="bottom"/>
            <w:hideMark/>
          </w:tcPr>
          <w:p w:rsidR="00F8552B" w:rsidRPr="00552AB2" w:rsidRDefault="00F8552B" w:rsidP="00043A1A">
            <w:pPr>
              <w:overflowPunct/>
              <w:autoSpaceDE/>
              <w:autoSpaceDN/>
              <w:adjustRightInd/>
              <w:spacing w:after="0" w:line="240" w:lineRule="auto"/>
              <w:jc w:val="center"/>
              <w:textAlignment w:val="auto"/>
              <w:rPr>
                <w:rFonts w:ascii="Arial" w:hAnsi="Arial" w:cs="Arial"/>
                <w:color w:val="000000"/>
                <w:sz w:val="16"/>
                <w:szCs w:val="16"/>
                <w:lang w:eastAsia="sv-SE"/>
              </w:rPr>
            </w:pPr>
            <w:r w:rsidRPr="00552AB2">
              <w:rPr>
                <w:rFonts w:ascii="Arial" w:hAnsi="Arial" w:cs="Arial"/>
                <w:color w:val="000000"/>
                <w:sz w:val="16"/>
                <w:szCs w:val="16"/>
                <w:lang w:eastAsia="sv-SE"/>
              </w:rPr>
              <w:t>12 (10)</w:t>
            </w:r>
          </w:p>
        </w:tc>
        <w:tc>
          <w:tcPr>
            <w:tcW w:w="709" w:type="dxa"/>
            <w:tcBorders>
              <w:top w:val="nil"/>
              <w:left w:val="nil"/>
              <w:bottom w:val="nil"/>
              <w:right w:val="single" w:sz="4" w:space="0" w:color="auto"/>
            </w:tcBorders>
            <w:shd w:val="clear" w:color="auto" w:fill="auto"/>
            <w:noWrap/>
            <w:vAlign w:val="bottom"/>
            <w:hideMark/>
          </w:tcPr>
          <w:p w:rsidR="00F8552B" w:rsidRPr="00552AB2" w:rsidRDefault="00F8552B" w:rsidP="00043A1A">
            <w:pPr>
              <w:overflowPunct/>
              <w:autoSpaceDE/>
              <w:autoSpaceDN/>
              <w:adjustRightInd/>
              <w:spacing w:after="0" w:line="240" w:lineRule="auto"/>
              <w:jc w:val="center"/>
              <w:textAlignment w:val="auto"/>
              <w:rPr>
                <w:rFonts w:ascii="Arial" w:hAnsi="Arial" w:cs="Arial"/>
                <w:color w:val="000000"/>
                <w:sz w:val="16"/>
                <w:szCs w:val="16"/>
                <w:lang w:eastAsia="sv-SE"/>
              </w:rPr>
            </w:pPr>
            <w:r w:rsidRPr="00552AB2">
              <w:rPr>
                <w:rFonts w:ascii="Arial" w:hAnsi="Arial" w:cs="Arial"/>
                <w:color w:val="000000"/>
                <w:sz w:val="16"/>
                <w:szCs w:val="16"/>
                <w:lang w:eastAsia="sv-SE"/>
              </w:rPr>
              <w:t> </w:t>
            </w:r>
          </w:p>
        </w:tc>
        <w:tc>
          <w:tcPr>
            <w:tcW w:w="1134" w:type="dxa"/>
            <w:tcBorders>
              <w:top w:val="nil"/>
              <w:left w:val="nil"/>
              <w:bottom w:val="nil"/>
              <w:right w:val="single" w:sz="4" w:space="0" w:color="auto"/>
            </w:tcBorders>
            <w:shd w:val="clear" w:color="auto" w:fill="auto"/>
            <w:noWrap/>
            <w:vAlign w:val="bottom"/>
            <w:hideMark/>
          </w:tcPr>
          <w:p w:rsidR="00F8552B" w:rsidRPr="00552AB2" w:rsidRDefault="00F8552B" w:rsidP="00043A1A">
            <w:pPr>
              <w:overflowPunct/>
              <w:autoSpaceDE/>
              <w:autoSpaceDN/>
              <w:adjustRightInd/>
              <w:spacing w:after="0" w:line="240" w:lineRule="auto"/>
              <w:jc w:val="center"/>
              <w:textAlignment w:val="auto"/>
              <w:rPr>
                <w:rFonts w:ascii="Arial" w:hAnsi="Arial" w:cs="Arial"/>
                <w:color w:val="000000"/>
                <w:sz w:val="16"/>
                <w:szCs w:val="16"/>
                <w:lang w:eastAsia="sv-SE"/>
              </w:rPr>
            </w:pPr>
            <w:r w:rsidRPr="00552AB2">
              <w:rPr>
                <w:rFonts w:ascii="Arial" w:hAnsi="Arial" w:cs="Arial"/>
                <w:color w:val="000000"/>
                <w:sz w:val="16"/>
                <w:szCs w:val="16"/>
                <w:lang w:eastAsia="sv-SE"/>
              </w:rPr>
              <w:t> </w:t>
            </w:r>
          </w:p>
        </w:tc>
        <w:tc>
          <w:tcPr>
            <w:tcW w:w="992" w:type="dxa"/>
            <w:tcBorders>
              <w:top w:val="nil"/>
              <w:left w:val="nil"/>
              <w:bottom w:val="nil"/>
              <w:right w:val="single" w:sz="4" w:space="0" w:color="auto"/>
            </w:tcBorders>
            <w:shd w:val="clear" w:color="auto" w:fill="auto"/>
            <w:noWrap/>
            <w:vAlign w:val="bottom"/>
            <w:hideMark/>
          </w:tcPr>
          <w:p w:rsidR="00F8552B" w:rsidRPr="00552AB2" w:rsidRDefault="00F8552B" w:rsidP="00043A1A">
            <w:pPr>
              <w:overflowPunct/>
              <w:autoSpaceDE/>
              <w:autoSpaceDN/>
              <w:adjustRightInd/>
              <w:spacing w:after="0" w:line="240" w:lineRule="auto"/>
              <w:jc w:val="center"/>
              <w:textAlignment w:val="auto"/>
              <w:rPr>
                <w:rFonts w:ascii="Arial" w:hAnsi="Arial" w:cs="Arial"/>
                <w:color w:val="000000"/>
                <w:sz w:val="16"/>
                <w:szCs w:val="16"/>
                <w:lang w:eastAsia="sv-SE"/>
              </w:rPr>
            </w:pPr>
            <w:r w:rsidRPr="00552AB2">
              <w:rPr>
                <w:rFonts w:ascii="Arial" w:hAnsi="Arial" w:cs="Arial"/>
                <w:color w:val="000000"/>
                <w:sz w:val="16"/>
                <w:szCs w:val="16"/>
                <w:lang w:eastAsia="sv-SE"/>
              </w:rPr>
              <w:t>12 (10)</w:t>
            </w:r>
          </w:p>
        </w:tc>
      </w:tr>
      <w:tr w:rsidR="00F8552B" w:rsidRPr="005B593C" w:rsidTr="00043A1A">
        <w:trPr>
          <w:trHeight w:val="283"/>
        </w:trPr>
        <w:tc>
          <w:tcPr>
            <w:tcW w:w="4835" w:type="dxa"/>
            <w:tcBorders>
              <w:top w:val="nil"/>
              <w:left w:val="single" w:sz="4" w:space="0" w:color="auto"/>
              <w:bottom w:val="single" w:sz="4" w:space="0" w:color="auto"/>
              <w:right w:val="nil"/>
            </w:tcBorders>
            <w:shd w:val="clear" w:color="auto" w:fill="FDE9D9"/>
            <w:noWrap/>
            <w:vAlign w:val="bottom"/>
            <w:hideMark/>
          </w:tcPr>
          <w:p w:rsidR="00F8552B" w:rsidRPr="00552AB2" w:rsidRDefault="00F8552B" w:rsidP="00043A1A">
            <w:pPr>
              <w:overflowPunct/>
              <w:autoSpaceDE/>
              <w:autoSpaceDN/>
              <w:adjustRightInd/>
              <w:spacing w:after="0" w:line="240" w:lineRule="auto"/>
              <w:textAlignment w:val="auto"/>
              <w:rPr>
                <w:rFonts w:ascii="Arial" w:hAnsi="Arial" w:cs="Arial"/>
                <w:color w:val="000000"/>
                <w:sz w:val="16"/>
                <w:szCs w:val="16"/>
                <w:lang w:eastAsia="sv-SE"/>
              </w:rPr>
            </w:pPr>
            <w:r w:rsidRPr="00552AB2">
              <w:rPr>
                <w:rFonts w:ascii="Arial" w:hAnsi="Arial" w:cs="Arial"/>
                <w:color w:val="000000"/>
                <w:sz w:val="16"/>
                <w:szCs w:val="16"/>
                <w:lang w:eastAsia="sv-SE"/>
              </w:rPr>
              <w:t>7. Generell utläggning</w:t>
            </w:r>
          </w:p>
        </w:tc>
        <w:tc>
          <w:tcPr>
            <w:tcW w:w="850" w:type="dxa"/>
            <w:tcBorders>
              <w:top w:val="nil"/>
              <w:left w:val="single" w:sz="4" w:space="0" w:color="auto"/>
              <w:bottom w:val="single" w:sz="4" w:space="0" w:color="auto"/>
              <w:right w:val="single" w:sz="4" w:space="0" w:color="auto"/>
            </w:tcBorders>
            <w:shd w:val="clear" w:color="auto" w:fill="FDE9D9"/>
            <w:noWrap/>
            <w:vAlign w:val="bottom"/>
            <w:hideMark/>
          </w:tcPr>
          <w:p w:rsidR="00F8552B" w:rsidRPr="00552AB2" w:rsidRDefault="00F8552B" w:rsidP="00043A1A">
            <w:pPr>
              <w:overflowPunct/>
              <w:autoSpaceDE/>
              <w:autoSpaceDN/>
              <w:adjustRightInd/>
              <w:spacing w:after="0" w:line="240" w:lineRule="auto"/>
              <w:jc w:val="center"/>
              <w:textAlignment w:val="auto"/>
              <w:rPr>
                <w:rFonts w:ascii="Arial" w:hAnsi="Arial" w:cs="Arial"/>
                <w:color w:val="000000"/>
                <w:sz w:val="16"/>
                <w:szCs w:val="16"/>
                <w:lang w:eastAsia="sv-SE"/>
              </w:rPr>
            </w:pPr>
            <w:r w:rsidRPr="00552AB2">
              <w:rPr>
                <w:rFonts w:ascii="Arial" w:hAnsi="Arial" w:cs="Arial"/>
                <w:color w:val="000000"/>
                <w:sz w:val="16"/>
                <w:szCs w:val="16"/>
                <w:lang w:eastAsia="sv-SE"/>
              </w:rPr>
              <w:t>10 (6)</w:t>
            </w:r>
          </w:p>
        </w:tc>
        <w:tc>
          <w:tcPr>
            <w:tcW w:w="709" w:type="dxa"/>
            <w:tcBorders>
              <w:top w:val="nil"/>
              <w:left w:val="nil"/>
              <w:bottom w:val="single" w:sz="4" w:space="0" w:color="auto"/>
              <w:right w:val="single" w:sz="4" w:space="0" w:color="auto"/>
            </w:tcBorders>
            <w:shd w:val="clear" w:color="auto" w:fill="FDE9D9"/>
            <w:noWrap/>
            <w:vAlign w:val="bottom"/>
            <w:hideMark/>
          </w:tcPr>
          <w:p w:rsidR="00F8552B" w:rsidRPr="00552AB2" w:rsidRDefault="00F8552B" w:rsidP="00043A1A">
            <w:pPr>
              <w:overflowPunct/>
              <w:autoSpaceDE/>
              <w:autoSpaceDN/>
              <w:adjustRightInd/>
              <w:spacing w:after="0" w:line="240" w:lineRule="auto"/>
              <w:jc w:val="center"/>
              <w:textAlignment w:val="auto"/>
              <w:rPr>
                <w:rFonts w:ascii="Arial" w:hAnsi="Arial" w:cs="Arial"/>
                <w:color w:val="000000"/>
                <w:sz w:val="16"/>
                <w:szCs w:val="16"/>
                <w:lang w:eastAsia="sv-SE"/>
              </w:rPr>
            </w:pPr>
            <w:r w:rsidRPr="00552AB2">
              <w:rPr>
                <w:rFonts w:ascii="Arial" w:hAnsi="Arial" w:cs="Arial"/>
                <w:color w:val="000000"/>
                <w:sz w:val="16"/>
                <w:szCs w:val="16"/>
                <w:lang w:eastAsia="sv-SE"/>
              </w:rPr>
              <w:t> </w:t>
            </w:r>
          </w:p>
        </w:tc>
        <w:tc>
          <w:tcPr>
            <w:tcW w:w="1134" w:type="dxa"/>
            <w:tcBorders>
              <w:top w:val="nil"/>
              <w:left w:val="nil"/>
              <w:bottom w:val="single" w:sz="4" w:space="0" w:color="auto"/>
              <w:right w:val="single" w:sz="4" w:space="0" w:color="auto"/>
            </w:tcBorders>
            <w:shd w:val="clear" w:color="auto" w:fill="FDE9D9"/>
            <w:noWrap/>
            <w:vAlign w:val="bottom"/>
            <w:hideMark/>
          </w:tcPr>
          <w:p w:rsidR="00F8552B" w:rsidRPr="00552AB2" w:rsidRDefault="00F8552B" w:rsidP="00043A1A">
            <w:pPr>
              <w:overflowPunct/>
              <w:autoSpaceDE/>
              <w:autoSpaceDN/>
              <w:adjustRightInd/>
              <w:spacing w:after="0" w:line="240" w:lineRule="auto"/>
              <w:jc w:val="center"/>
              <w:textAlignment w:val="auto"/>
              <w:rPr>
                <w:rFonts w:ascii="Arial" w:hAnsi="Arial" w:cs="Arial"/>
                <w:color w:val="000000"/>
                <w:sz w:val="16"/>
                <w:szCs w:val="16"/>
                <w:lang w:eastAsia="sv-SE"/>
              </w:rPr>
            </w:pPr>
            <w:r w:rsidRPr="00552AB2">
              <w:rPr>
                <w:rFonts w:ascii="Arial" w:hAnsi="Arial" w:cs="Arial"/>
                <w:color w:val="000000"/>
                <w:sz w:val="16"/>
                <w:szCs w:val="16"/>
                <w:lang w:eastAsia="sv-SE"/>
              </w:rPr>
              <w:t> </w:t>
            </w:r>
          </w:p>
        </w:tc>
        <w:tc>
          <w:tcPr>
            <w:tcW w:w="992" w:type="dxa"/>
            <w:tcBorders>
              <w:top w:val="nil"/>
              <w:left w:val="nil"/>
              <w:bottom w:val="single" w:sz="4" w:space="0" w:color="auto"/>
              <w:right w:val="single" w:sz="4" w:space="0" w:color="auto"/>
            </w:tcBorders>
            <w:shd w:val="clear" w:color="auto" w:fill="FDE9D9"/>
            <w:noWrap/>
            <w:vAlign w:val="bottom"/>
            <w:hideMark/>
          </w:tcPr>
          <w:p w:rsidR="00F8552B" w:rsidRPr="00552AB2" w:rsidRDefault="00F8552B" w:rsidP="00043A1A">
            <w:pPr>
              <w:overflowPunct/>
              <w:autoSpaceDE/>
              <w:autoSpaceDN/>
              <w:adjustRightInd/>
              <w:spacing w:after="0" w:line="240" w:lineRule="auto"/>
              <w:jc w:val="center"/>
              <w:textAlignment w:val="auto"/>
              <w:rPr>
                <w:rFonts w:ascii="Arial" w:hAnsi="Arial" w:cs="Arial"/>
                <w:color w:val="000000"/>
                <w:sz w:val="16"/>
                <w:szCs w:val="16"/>
                <w:lang w:eastAsia="sv-SE"/>
              </w:rPr>
            </w:pPr>
            <w:r w:rsidRPr="00552AB2">
              <w:rPr>
                <w:rFonts w:ascii="Arial" w:hAnsi="Arial" w:cs="Arial"/>
                <w:color w:val="000000"/>
                <w:sz w:val="16"/>
                <w:szCs w:val="16"/>
                <w:lang w:eastAsia="sv-SE"/>
              </w:rPr>
              <w:t>10 (6)</w:t>
            </w:r>
          </w:p>
        </w:tc>
      </w:tr>
    </w:tbl>
    <w:p w:rsidR="00330EE4" w:rsidRDefault="00330EE4" w:rsidP="00330EE4">
      <w:pPr>
        <w:pStyle w:val="Punktlista"/>
        <w:numPr>
          <w:ilvl w:val="0"/>
          <w:numId w:val="0"/>
        </w:numPr>
        <w:spacing w:before="0" w:after="0"/>
        <w:rPr>
          <w:rFonts w:ascii="Arial" w:hAnsi="Arial" w:cs="Arial"/>
          <w:sz w:val="16"/>
          <w:szCs w:val="16"/>
        </w:rPr>
      </w:pPr>
      <w:r>
        <w:rPr>
          <w:rFonts w:ascii="Arial" w:hAnsi="Arial" w:cs="Arial"/>
          <w:sz w:val="16"/>
          <w:szCs w:val="16"/>
        </w:rPr>
        <w:t>* Siffran inom parentes gäller 2010</w:t>
      </w:r>
    </w:p>
    <w:p w:rsidR="001D49E8" w:rsidRDefault="00F8552B" w:rsidP="00F8552B">
      <w:pPr>
        <w:pStyle w:val="Punktlista"/>
        <w:numPr>
          <w:ilvl w:val="0"/>
          <w:numId w:val="0"/>
        </w:numPr>
        <w:spacing w:before="0"/>
        <w:rPr>
          <w:rFonts w:ascii="Arial" w:hAnsi="Arial" w:cs="Arial"/>
          <w:sz w:val="16"/>
          <w:szCs w:val="16"/>
        </w:rPr>
      </w:pPr>
      <w:r w:rsidRPr="00F8552B">
        <w:rPr>
          <w:rFonts w:ascii="Arial" w:hAnsi="Arial" w:cs="Arial"/>
          <w:sz w:val="16"/>
          <w:szCs w:val="16"/>
        </w:rPr>
        <w:t>Källa: Medlingsinstitutet</w:t>
      </w:r>
    </w:p>
    <w:p w:rsidR="001D49E8" w:rsidRDefault="001D49E8">
      <w:pPr>
        <w:overflowPunct/>
        <w:autoSpaceDE/>
        <w:autoSpaceDN/>
        <w:adjustRightInd/>
        <w:spacing w:after="0" w:line="240" w:lineRule="auto"/>
        <w:textAlignment w:val="auto"/>
        <w:rPr>
          <w:rFonts w:ascii="Arial" w:hAnsi="Arial" w:cs="Arial"/>
          <w:sz w:val="16"/>
          <w:szCs w:val="16"/>
        </w:rPr>
      </w:pPr>
      <w:r>
        <w:rPr>
          <w:noProof/>
          <w:lang w:eastAsia="sv-SE"/>
        </w:rPr>
        <w:drawing>
          <wp:anchor distT="0" distB="0" distL="114300" distR="114300" simplePos="0" relativeHeight="251677696" behindDoc="1" locked="0" layoutInCell="1" allowOverlap="1" wp14:anchorId="65958EA0" wp14:editId="358D82D7">
            <wp:simplePos x="0" y="0"/>
            <wp:positionH relativeFrom="column">
              <wp:posOffset>681990</wp:posOffset>
            </wp:positionH>
            <wp:positionV relativeFrom="paragraph">
              <wp:posOffset>180340</wp:posOffset>
            </wp:positionV>
            <wp:extent cx="4076700" cy="3862070"/>
            <wp:effectExtent l="0" t="0" r="0" b="5080"/>
            <wp:wrapTight wrapText="bothSides">
              <wp:wrapPolygon edited="0">
                <wp:start x="0" y="0"/>
                <wp:lineTo x="0" y="21522"/>
                <wp:lineTo x="21499" y="21522"/>
                <wp:lineTo x="21499" y="0"/>
                <wp:lineTo x="0" y="0"/>
              </wp:wrapPolygon>
            </wp:wrapTight>
            <wp:docPr id="3"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76700" cy="386207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16"/>
          <w:szCs w:val="16"/>
        </w:rPr>
        <w:br w:type="page"/>
      </w:r>
    </w:p>
    <w:p w:rsidR="00F8552B" w:rsidRPr="00A6594D" w:rsidRDefault="00F8552B" w:rsidP="00F8552B">
      <w:pPr>
        <w:pStyle w:val="Rubrik3"/>
        <w:rPr>
          <w:b/>
          <w:bCs/>
          <w:sz w:val="28"/>
          <w:szCs w:val="28"/>
        </w:rPr>
      </w:pPr>
      <w:r w:rsidRPr="00A6594D">
        <w:rPr>
          <w:b/>
          <w:bCs/>
          <w:sz w:val="28"/>
          <w:szCs w:val="28"/>
        </w:rPr>
        <w:lastRenderedPageBreak/>
        <w:t>Lönestatistik</w:t>
      </w:r>
    </w:p>
    <w:p w:rsidR="00F8552B" w:rsidRDefault="00F8552B" w:rsidP="00F8552B">
      <w:pPr>
        <w:rPr>
          <w:szCs w:val="23"/>
        </w:rPr>
      </w:pPr>
      <w:r w:rsidRPr="001220AA">
        <w:rPr>
          <w:szCs w:val="23"/>
        </w:rPr>
        <w:t xml:space="preserve">Medlingsinstitutet är ansvarig för den officiella lönestatistikens innehåll och omfattning. Statistiken kan grovt delas in i tre delar: </w:t>
      </w:r>
      <w:proofErr w:type="spellStart"/>
      <w:r w:rsidRPr="001220AA">
        <w:rPr>
          <w:szCs w:val="23"/>
        </w:rPr>
        <w:t>konjunktur</w:t>
      </w:r>
      <w:r>
        <w:rPr>
          <w:szCs w:val="23"/>
        </w:rPr>
        <w:softHyphen/>
      </w:r>
      <w:r w:rsidRPr="001220AA">
        <w:rPr>
          <w:szCs w:val="23"/>
        </w:rPr>
        <w:t>lönestatistiken</w:t>
      </w:r>
      <w:proofErr w:type="spellEnd"/>
      <w:r w:rsidRPr="001220AA">
        <w:rPr>
          <w:szCs w:val="23"/>
        </w:rPr>
        <w:t xml:space="preserve">, </w:t>
      </w:r>
      <w:r>
        <w:rPr>
          <w:szCs w:val="23"/>
        </w:rPr>
        <w:t>l</w:t>
      </w:r>
      <w:r w:rsidRPr="001220AA">
        <w:rPr>
          <w:szCs w:val="23"/>
        </w:rPr>
        <w:t>önestrukturstatistiken samt statistik till EU. Viktiga användningsområden för statistiken är som underlag för analyse</w:t>
      </w:r>
      <w:r>
        <w:rPr>
          <w:szCs w:val="23"/>
        </w:rPr>
        <w:t>r av lönebildningen och löneskillnaden mellan kvinnor och män, konjunktur</w:t>
      </w:r>
      <w:r>
        <w:rPr>
          <w:szCs w:val="23"/>
        </w:rPr>
        <w:softHyphen/>
      </w:r>
      <w:r w:rsidRPr="001220AA">
        <w:rPr>
          <w:szCs w:val="23"/>
        </w:rPr>
        <w:t>bedömning</w:t>
      </w:r>
      <w:r>
        <w:rPr>
          <w:szCs w:val="23"/>
        </w:rPr>
        <w:t>ar</w:t>
      </w:r>
      <w:r w:rsidRPr="001220AA">
        <w:rPr>
          <w:szCs w:val="23"/>
        </w:rPr>
        <w:t xml:space="preserve"> samt samhällsvetenskaplig forskning.</w:t>
      </w:r>
    </w:p>
    <w:p w:rsidR="00F8552B" w:rsidRPr="00F8552B" w:rsidRDefault="00F8552B" w:rsidP="00F8552B">
      <w:pPr>
        <w:pStyle w:val="Rubrik3"/>
        <w:rPr>
          <w:b/>
          <w:bCs/>
          <w:sz w:val="25"/>
        </w:rPr>
      </w:pPr>
      <w:r w:rsidRPr="00F8552B">
        <w:rPr>
          <w:b/>
          <w:bCs/>
          <w:sz w:val="25"/>
        </w:rPr>
        <w:t>Konjunkturlönestatistik</w:t>
      </w:r>
    </w:p>
    <w:p w:rsidR="00F8552B" w:rsidRDefault="00F8552B" w:rsidP="00F8552B">
      <w:pPr>
        <w:rPr>
          <w:szCs w:val="23"/>
        </w:rPr>
      </w:pPr>
      <w:r w:rsidRPr="001220AA">
        <w:rPr>
          <w:szCs w:val="23"/>
        </w:rPr>
        <w:t>Konjunkturlönestatistiken har som huvudsyfte att månatligen belysa lönenivån och dess förändring över tiden. Statistiken publiceras 10 gånger om året på Medlingsinstitutets hemsida.</w:t>
      </w:r>
    </w:p>
    <w:p w:rsidR="00EC5AED" w:rsidRPr="00A27F11" w:rsidRDefault="00EC5AED" w:rsidP="00EC5AED">
      <w:pPr>
        <w:pStyle w:val="Tabellrubrik1"/>
        <w:rPr>
          <w:rFonts w:cs="Arial"/>
          <w:sz w:val="16"/>
          <w:szCs w:val="16"/>
        </w:rPr>
      </w:pPr>
      <w:r w:rsidRPr="00A27F11">
        <w:t>Löneutvecklingen sektor</w:t>
      </w:r>
      <w:r>
        <w:t>svis 2000–2011</w:t>
      </w:r>
      <w:r w:rsidRPr="00A27F11">
        <w:t xml:space="preserve"> enligt konjunkturlönestatistiken</w:t>
      </w:r>
      <w:r>
        <w:t xml:space="preserve"> </w:t>
      </w:r>
      <w:r>
        <w:br/>
      </w:r>
      <w:r w:rsidRPr="00A27F11">
        <w:rPr>
          <w:rFonts w:cs="Arial"/>
          <w:sz w:val="16"/>
          <w:szCs w:val="16"/>
        </w:rPr>
        <w:t>Procentuell förändring från föregående år</w:t>
      </w:r>
    </w:p>
    <w:tbl>
      <w:tblPr>
        <w:tblW w:w="7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514"/>
        <w:gridCol w:w="515"/>
        <w:gridCol w:w="515"/>
        <w:gridCol w:w="514"/>
        <w:gridCol w:w="515"/>
        <w:gridCol w:w="515"/>
        <w:gridCol w:w="515"/>
        <w:gridCol w:w="514"/>
        <w:gridCol w:w="515"/>
        <w:gridCol w:w="515"/>
        <w:gridCol w:w="515"/>
        <w:gridCol w:w="515"/>
      </w:tblGrid>
      <w:tr w:rsidR="00EC5AED" w:rsidRPr="001F2165" w:rsidTr="00043A1A">
        <w:trPr>
          <w:trHeight w:val="209"/>
        </w:trPr>
        <w:tc>
          <w:tcPr>
            <w:tcW w:w="1488" w:type="dxa"/>
            <w:tcBorders>
              <w:bottom w:val="single" w:sz="4" w:space="0" w:color="auto"/>
            </w:tcBorders>
            <w:shd w:val="clear" w:color="auto" w:fill="auto"/>
          </w:tcPr>
          <w:p w:rsidR="00EC5AED" w:rsidRPr="00F9495B" w:rsidRDefault="00EC5AED" w:rsidP="00043A1A">
            <w:pPr>
              <w:pStyle w:val="Tabellinnehllhger"/>
              <w:ind w:left="-567" w:firstLine="567"/>
              <w:rPr>
                <w:b/>
                <w:szCs w:val="15"/>
                <w:lang w:val="sv-SE"/>
              </w:rPr>
            </w:pPr>
            <w:r w:rsidRPr="00F9495B">
              <w:rPr>
                <w:b/>
                <w:szCs w:val="15"/>
                <w:lang w:val="sv-SE"/>
              </w:rPr>
              <w:t> </w:t>
            </w:r>
          </w:p>
        </w:tc>
        <w:tc>
          <w:tcPr>
            <w:tcW w:w="514" w:type="dxa"/>
            <w:tcBorders>
              <w:bottom w:val="single" w:sz="4" w:space="0" w:color="auto"/>
            </w:tcBorders>
            <w:shd w:val="clear" w:color="auto" w:fill="auto"/>
          </w:tcPr>
          <w:p w:rsidR="00EC5AED" w:rsidRPr="001F2165" w:rsidRDefault="00EC5AED" w:rsidP="00043A1A">
            <w:pPr>
              <w:pStyle w:val="Tabellinnehllhger"/>
              <w:ind w:left="-567" w:firstLine="567"/>
              <w:rPr>
                <w:b/>
                <w:szCs w:val="15"/>
              </w:rPr>
            </w:pPr>
            <w:r w:rsidRPr="001F2165">
              <w:rPr>
                <w:b/>
                <w:szCs w:val="15"/>
              </w:rPr>
              <w:t>2000</w:t>
            </w:r>
          </w:p>
        </w:tc>
        <w:tc>
          <w:tcPr>
            <w:tcW w:w="515" w:type="dxa"/>
            <w:tcBorders>
              <w:bottom w:val="single" w:sz="4" w:space="0" w:color="auto"/>
            </w:tcBorders>
            <w:shd w:val="clear" w:color="auto" w:fill="auto"/>
          </w:tcPr>
          <w:p w:rsidR="00EC5AED" w:rsidRPr="001F2165" w:rsidRDefault="00EC5AED" w:rsidP="00043A1A">
            <w:pPr>
              <w:pStyle w:val="Tabellinnehllhger"/>
              <w:ind w:left="-567" w:firstLine="567"/>
              <w:rPr>
                <w:b/>
                <w:szCs w:val="15"/>
              </w:rPr>
            </w:pPr>
            <w:r w:rsidRPr="001F2165">
              <w:rPr>
                <w:b/>
                <w:szCs w:val="15"/>
              </w:rPr>
              <w:t>2001</w:t>
            </w:r>
          </w:p>
        </w:tc>
        <w:tc>
          <w:tcPr>
            <w:tcW w:w="515" w:type="dxa"/>
            <w:tcBorders>
              <w:bottom w:val="single" w:sz="4" w:space="0" w:color="auto"/>
            </w:tcBorders>
            <w:shd w:val="clear" w:color="auto" w:fill="auto"/>
          </w:tcPr>
          <w:p w:rsidR="00EC5AED" w:rsidRPr="001F2165" w:rsidRDefault="00EC5AED" w:rsidP="00043A1A">
            <w:pPr>
              <w:pStyle w:val="Tabellinnehllhger"/>
              <w:ind w:left="-567" w:firstLine="567"/>
              <w:rPr>
                <w:b/>
                <w:szCs w:val="15"/>
              </w:rPr>
            </w:pPr>
            <w:r w:rsidRPr="001F2165">
              <w:rPr>
                <w:b/>
                <w:szCs w:val="15"/>
              </w:rPr>
              <w:t>2002</w:t>
            </w:r>
          </w:p>
        </w:tc>
        <w:tc>
          <w:tcPr>
            <w:tcW w:w="514" w:type="dxa"/>
            <w:tcBorders>
              <w:bottom w:val="single" w:sz="4" w:space="0" w:color="auto"/>
            </w:tcBorders>
            <w:shd w:val="clear" w:color="auto" w:fill="auto"/>
          </w:tcPr>
          <w:p w:rsidR="00EC5AED" w:rsidRPr="001F2165" w:rsidRDefault="00EC5AED" w:rsidP="00043A1A">
            <w:pPr>
              <w:pStyle w:val="Tabellinnehllhger"/>
              <w:ind w:left="-567" w:firstLine="567"/>
              <w:rPr>
                <w:b/>
                <w:szCs w:val="15"/>
              </w:rPr>
            </w:pPr>
            <w:r w:rsidRPr="001F2165">
              <w:rPr>
                <w:b/>
                <w:szCs w:val="15"/>
              </w:rPr>
              <w:t>2003</w:t>
            </w:r>
          </w:p>
        </w:tc>
        <w:tc>
          <w:tcPr>
            <w:tcW w:w="515" w:type="dxa"/>
            <w:tcBorders>
              <w:bottom w:val="single" w:sz="4" w:space="0" w:color="auto"/>
            </w:tcBorders>
            <w:shd w:val="clear" w:color="auto" w:fill="auto"/>
          </w:tcPr>
          <w:p w:rsidR="00EC5AED" w:rsidRPr="001F2165" w:rsidRDefault="00EC5AED" w:rsidP="00043A1A">
            <w:pPr>
              <w:pStyle w:val="Tabellinnehllhger"/>
              <w:ind w:left="-567" w:firstLine="567"/>
              <w:rPr>
                <w:b/>
                <w:szCs w:val="15"/>
              </w:rPr>
            </w:pPr>
            <w:r w:rsidRPr="001F2165">
              <w:rPr>
                <w:b/>
                <w:szCs w:val="15"/>
              </w:rPr>
              <w:t>2004</w:t>
            </w:r>
          </w:p>
        </w:tc>
        <w:tc>
          <w:tcPr>
            <w:tcW w:w="515" w:type="dxa"/>
            <w:tcBorders>
              <w:bottom w:val="single" w:sz="4" w:space="0" w:color="auto"/>
            </w:tcBorders>
            <w:shd w:val="clear" w:color="auto" w:fill="auto"/>
          </w:tcPr>
          <w:p w:rsidR="00EC5AED" w:rsidRPr="001F2165" w:rsidRDefault="00EC5AED" w:rsidP="00043A1A">
            <w:pPr>
              <w:pStyle w:val="Tabellinnehllhger"/>
              <w:ind w:left="-567" w:firstLine="567"/>
              <w:rPr>
                <w:b/>
                <w:szCs w:val="15"/>
              </w:rPr>
            </w:pPr>
            <w:r w:rsidRPr="001F2165">
              <w:rPr>
                <w:b/>
                <w:szCs w:val="15"/>
              </w:rPr>
              <w:t>2005</w:t>
            </w:r>
          </w:p>
        </w:tc>
        <w:tc>
          <w:tcPr>
            <w:tcW w:w="515" w:type="dxa"/>
            <w:tcBorders>
              <w:bottom w:val="single" w:sz="4" w:space="0" w:color="auto"/>
            </w:tcBorders>
            <w:shd w:val="clear" w:color="auto" w:fill="auto"/>
          </w:tcPr>
          <w:p w:rsidR="00EC5AED" w:rsidRPr="001F2165" w:rsidRDefault="00EC5AED" w:rsidP="00043A1A">
            <w:pPr>
              <w:pStyle w:val="Tabellinnehllhger"/>
              <w:ind w:left="-567" w:firstLine="567"/>
              <w:rPr>
                <w:b/>
                <w:szCs w:val="15"/>
              </w:rPr>
            </w:pPr>
            <w:r w:rsidRPr="001F2165">
              <w:rPr>
                <w:b/>
                <w:szCs w:val="15"/>
              </w:rPr>
              <w:t>2006</w:t>
            </w:r>
          </w:p>
        </w:tc>
        <w:tc>
          <w:tcPr>
            <w:tcW w:w="514" w:type="dxa"/>
            <w:tcBorders>
              <w:bottom w:val="single" w:sz="4" w:space="0" w:color="auto"/>
            </w:tcBorders>
            <w:shd w:val="clear" w:color="auto" w:fill="auto"/>
          </w:tcPr>
          <w:p w:rsidR="00EC5AED" w:rsidRPr="001F2165" w:rsidRDefault="00EC5AED" w:rsidP="00043A1A">
            <w:pPr>
              <w:pStyle w:val="Tabellinnehllhger"/>
              <w:ind w:left="-567" w:firstLine="567"/>
              <w:rPr>
                <w:b/>
                <w:szCs w:val="15"/>
              </w:rPr>
            </w:pPr>
            <w:r w:rsidRPr="001F2165">
              <w:rPr>
                <w:b/>
                <w:szCs w:val="15"/>
              </w:rPr>
              <w:t>2007</w:t>
            </w:r>
          </w:p>
        </w:tc>
        <w:tc>
          <w:tcPr>
            <w:tcW w:w="515" w:type="dxa"/>
            <w:tcBorders>
              <w:bottom w:val="single" w:sz="4" w:space="0" w:color="auto"/>
            </w:tcBorders>
            <w:shd w:val="clear" w:color="auto" w:fill="auto"/>
          </w:tcPr>
          <w:p w:rsidR="00EC5AED" w:rsidRPr="001F2165" w:rsidRDefault="00EC5AED" w:rsidP="00043A1A">
            <w:pPr>
              <w:pStyle w:val="Tabellinnehllhger"/>
              <w:ind w:left="-567" w:firstLine="567"/>
              <w:rPr>
                <w:b/>
                <w:szCs w:val="15"/>
              </w:rPr>
            </w:pPr>
            <w:r w:rsidRPr="001F2165">
              <w:rPr>
                <w:b/>
                <w:szCs w:val="15"/>
              </w:rPr>
              <w:t>2008</w:t>
            </w:r>
          </w:p>
          <w:p w:rsidR="00EC5AED" w:rsidRPr="001F2165" w:rsidRDefault="00EC5AED" w:rsidP="00043A1A">
            <w:pPr>
              <w:pStyle w:val="Tabellinnehllhger"/>
              <w:ind w:left="-567" w:firstLine="567"/>
              <w:rPr>
                <w:b/>
                <w:szCs w:val="15"/>
              </w:rPr>
            </w:pPr>
          </w:p>
        </w:tc>
        <w:tc>
          <w:tcPr>
            <w:tcW w:w="515" w:type="dxa"/>
            <w:tcBorders>
              <w:bottom w:val="single" w:sz="4" w:space="0" w:color="auto"/>
            </w:tcBorders>
          </w:tcPr>
          <w:p w:rsidR="00EC5AED" w:rsidRPr="001F2165" w:rsidRDefault="00EC5AED" w:rsidP="00043A1A">
            <w:pPr>
              <w:pStyle w:val="Tabellinnehllhger"/>
              <w:ind w:left="-567" w:firstLine="567"/>
              <w:rPr>
                <w:b/>
                <w:szCs w:val="15"/>
              </w:rPr>
            </w:pPr>
            <w:r w:rsidRPr="001F2165">
              <w:rPr>
                <w:b/>
                <w:szCs w:val="15"/>
              </w:rPr>
              <w:t>2009</w:t>
            </w:r>
          </w:p>
        </w:tc>
        <w:tc>
          <w:tcPr>
            <w:tcW w:w="515" w:type="dxa"/>
            <w:tcBorders>
              <w:bottom w:val="single" w:sz="4" w:space="0" w:color="auto"/>
            </w:tcBorders>
            <w:shd w:val="clear" w:color="auto" w:fill="auto"/>
          </w:tcPr>
          <w:p w:rsidR="00EC5AED" w:rsidRPr="001F2165" w:rsidRDefault="00EC5AED" w:rsidP="00043A1A">
            <w:pPr>
              <w:pStyle w:val="Tabellinnehllhger"/>
              <w:ind w:left="-567" w:firstLine="567"/>
              <w:rPr>
                <w:b/>
                <w:szCs w:val="15"/>
              </w:rPr>
            </w:pPr>
            <w:r>
              <w:rPr>
                <w:b/>
                <w:szCs w:val="15"/>
              </w:rPr>
              <w:t>2010</w:t>
            </w:r>
          </w:p>
        </w:tc>
        <w:tc>
          <w:tcPr>
            <w:tcW w:w="515" w:type="dxa"/>
            <w:tcBorders>
              <w:bottom w:val="single" w:sz="4" w:space="0" w:color="auto"/>
            </w:tcBorders>
          </w:tcPr>
          <w:p w:rsidR="00EC5AED" w:rsidRDefault="00EC5AED" w:rsidP="00043A1A">
            <w:pPr>
              <w:pStyle w:val="Tabellinnehllhger"/>
              <w:ind w:left="-567" w:firstLine="567"/>
              <w:rPr>
                <w:b/>
                <w:szCs w:val="15"/>
              </w:rPr>
            </w:pPr>
            <w:r>
              <w:rPr>
                <w:b/>
                <w:szCs w:val="15"/>
              </w:rPr>
              <w:t>2011</w:t>
            </w:r>
          </w:p>
        </w:tc>
      </w:tr>
      <w:tr w:rsidR="00EC5AED" w:rsidRPr="00A27F11" w:rsidTr="00043A1A">
        <w:trPr>
          <w:trHeight w:val="209"/>
        </w:trPr>
        <w:tc>
          <w:tcPr>
            <w:tcW w:w="1488" w:type="dxa"/>
            <w:shd w:val="clear" w:color="auto" w:fill="auto"/>
          </w:tcPr>
          <w:p w:rsidR="00EC5AED" w:rsidRPr="00A27F11" w:rsidRDefault="00EC5AED" w:rsidP="00043A1A">
            <w:pPr>
              <w:pStyle w:val="Tabellinnehllhger"/>
              <w:ind w:left="-567" w:firstLine="567"/>
              <w:jc w:val="left"/>
            </w:pPr>
            <w:r w:rsidRPr="00A27F11">
              <w:t>Industri</w:t>
            </w:r>
          </w:p>
        </w:tc>
        <w:tc>
          <w:tcPr>
            <w:tcW w:w="514" w:type="dxa"/>
            <w:shd w:val="clear" w:color="auto" w:fill="auto"/>
          </w:tcPr>
          <w:p w:rsidR="00EC5AED" w:rsidRPr="00A27F11" w:rsidRDefault="00EC5AED" w:rsidP="00043A1A">
            <w:pPr>
              <w:pStyle w:val="Tabellinnehllhger"/>
              <w:ind w:left="-567" w:firstLine="567"/>
            </w:pPr>
            <w:r w:rsidRPr="00A27F11">
              <w:t>4,1</w:t>
            </w:r>
          </w:p>
        </w:tc>
        <w:tc>
          <w:tcPr>
            <w:tcW w:w="515" w:type="dxa"/>
            <w:shd w:val="clear" w:color="auto" w:fill="auto"/>
          </w:tcPr>
          <w:p w:rsidR="00EC5AED" w:rsidRPr="00A27F11" w:rsidRDefault="00EC5AED" w:rsidP="00043A1A">
            <w:pPr>
              <w:pStyle w:val="Tabellinnehllhger"/>
              <w:ind w:left="-567" w:firstLine="567"/>
            </w:pPr>
            <w:r w:rsidRPr="00A27F11">
              <w:t>3,9</w:t>
            </w:r>
          </w:p>
        </w:tc>
        <w:tc>
          <w:tcPr>
            <w:tcW w:w="515" w:type="dxa"/>
            <w:shd w:val="clear" w:color="auto" w:fill="auto"/>
          </w:tcPr>
          <w:p w:rsidR="00EC5AED" w:rsidRPr="00A27F11" w:rsidRDefault="00EC5AED" w:rsidP="00043A1A">
            <w:pPr>
              <w:pStyle w:val="Tabellinnehllhger"/>
              <w:ind w:left="-567" w:firstLine="567"/>
            </w:pPr>
            <w:r w:rsidRPr="00A27F11">
              <w:t>4,2</w:t>
            </w:r>
          </w:p>
        </w:tc>
        <w:tc>
          <w:tcPr>
            <w:tcW w:w="514" w:type="dxa"/>
            <w:shd w:val="clear" w:color="auto" w:fill="auto"/>
          </w:tcPr>
          <w:p w:rsidR="00EC5AED" w:rsidRPr="00A27F11" w:rsidRDefault="00EC5AED" w:rsidP="00043A1A">
            <w:pPr>
              <w:pStyle w:val="Tabellinnehllhger"/>
              <w:ind w:left="-567" w:firstLine="567"/>
            </w:pPr>
            <w:r w:rsidRPr="00A27F11">
              <w:t>3,2</w:t>
            </w:r>
          </w:p>
        </w:tc>
        <w:tc>
          <w:tcPr>
            <w:tcW w:w="515" w:type="dxa"/>
            <w:shd w:val="clear" w:color="auto" w:fill="auto"/>
          </w:tcPr>
          <w:p w:rsidR="00EC5AED" w:rsidRPr="00A27F11" w:rsidRDefault="00EC5AED" w:rsidP="00043A1A">
            <w:pPr>
              <w:pStyle w:val="Tabellinnehllhger"/>
              <w:ind w:left="-567" w:firstLine="567"/>
            </w:pPr>
            <w:r w:rsidRPr="00A27F11">
              <w:t>3,1</w:t>
            </w:r>
          </w:p>
        </w:tc>
        <w:tc>
          <w:tcPr>
            <w:tcW w:w="515" w:type="dxa"/>
            <w:shd w:val="clear" w:color="auto" w:fill="auto"/>
          </w:tcPr>
          <w:p w:rsidR="00EC5AED" w:rsidRPr="00A27F11" w:rsidRDefault="00EC5AED" w:rsidP="00043A1A">
            <w:pPr>
              <w:pStyle w:val="Tabellinnehllhger"/>
              <w:ind w:left="-567" w:firstLine="567"/>
            </w:pPr>
            <w:r w:rsidRPr="00A27F11">
              <w:t>3,1</w:t>
            </w:r>
          </w:p>
        </w:tc>
        <w:tc>
          <w:tcPr>
            <w:tcW w:w="515" w:type="dxa"/>
            <w:shd w:val="clear" w:color="auto" w:fill="auto"/>
          </w:tcPr>
          <w:p w:rsidR="00EC5AED" w:rsidRPr="00A27F11" w:rsidRDefault="00EC5AED" w:rsidP="00043A1A">
            <w:pPr>
              <w:pStyle w:val="Tabellinnehllhger"/>
              <w:ind w:left="-567" w:firstLine="567"/>
            </w:pPr>
            <w:r w:rsidRPr="00A27F11">
              <w:t>3,2</w:t>
            </w:r>
          </w:p>
        </w:tc>
        <w:tc>
          <w:tcPr>
            <w:tcW w:w="514" w:type="dxa"/>
            <w:shd w:val="clear" w:color="auto" w:fill="auto"/>
          </w:tcPr>
          <w:p w:rsidR="00EC5AED" w:rsidRPr="00A27F11" w:rsidRDefault="00EC5AED" w:rsidP="00043A1A">
            <w:pPr>
              <w:pStyle w:val="Tabellinnehllhger"/>
              <w:ind w:left="-567" w:firstLine="567"/>
            </w:pPr>
            <w:r w:rsidRPr="00A27F11">
              <w:t>3,7</w:t>
            </w:r>
          </w:p>
        </w:tc>
        <w:tc>
          <w:tcPr>
            <w:tcW w:w="515" w:type="dxa"/>
            <w:shd w:val="clear" w:color="auto" w:fill="auto"/>
          </w:tcPr>
          <w:p w:rsidR="00EC5AED" w:rsidRPr="00A27F11" w:rsidRDefault="00EC5AED" w:rsidP="00043A1A">
            <w:pPr>
              <w:pStyle w:val="Tabellinnehllhger"/>
              <w:ind w:left="-567" w:firstLine="567"/>
            </w:pPr>
            <w:r w:rsidRPr="00A27F11">
              <w:t>4,4</w:t>
            </w:r>
          </w:p>
        </w:tc>
        <w:tc>
          <w:tcPr>
            <w:tcW w:w="515" w:type="dxa"/>
          </w:tcPr>
          <w:p w:rsidR="00EC5AED" w:rsidRPr="00A27F11" w:rsidRDefault="00EC5AED" w:rsidP="00043A1A">
            <w:pPr>
              <w:pStyle w:val="Tabellinnehllhger"/>
              <w:ind w:left="-567" w:firstLine="567"/>
            </w:pPr>
            <w:r>
              <w:t>3,0</w:t>
            </w:r>
          </w:p>
        </w:tc>
        <w:tc>
          <w:tcPr>
            <w:tcW w:w="515" w:type="dxa"/>
            <w:shd w:val="clear" w:color="auto" w:fill="auto"/>
          </w:tcPr>
          <w:p w:rsidR="00EC5AED" w:rsidRPr="00A27F11" w:rsidRDefault="00EC5AED" w:rsidP="00043A1A">
            <w:pPr>
              <w:pStyle w:val="Tabellinnehllhger"/>
              <w:ind w:left="-567" w:firstLine="567"/>
            </w:pPr>
            <w:r>
              <w:t>2,8</w:t>
            </w:r>
          </w:p>
        </w:tc>
        <w:tc>
          <w:tcPr>
            <w:tcW w:w="515" w:type="dxa"/>
          </w:tcPr>
          <w:p w:rsidR="00EC5AED" w:rsidRDefault="00EC5AED" w:rsidP="00043A1A">
            <w:pPr>
              <w:pStyle w:val="Tabellinnehllhger"/>
              <w:ind w:left="-567" w:firstLine="567"/>
            </w:pPr>
            <w:r>
              <w:t>2,5</w:t>
            </w:r>
          </w:p>
        </w:tc>
      </w:tr>
      <w:tr w:rsidR="00EC5AED" w:rsidRPr="002261D3" w:rsidTr="00043A1A">
        <w:trPr>
          <w:trHeight w:val="209"/>
        </w:trPr>
        <w:tc>
          <w:tcPr>
            <w:tcW w:w="1488" w:type="dxa"/>
            <w:shd w:val="clear" w:color="auto" w:fill="auto"/>
          </w:tcPr>
          <w:p w:rsidR="00EC5AED" w:rsidRPr="00A27F11" w:rsidRDefault="00EC5AED" w:rsidP="00043A1A">
            <w:pPr>
              <w:pStyle w:val="Tabellinnehllhger"/>
              <w:ind w:left="-567" w:firstLine="567"/>
              <w:jc w:val="left"/>
            </w:pPr>
            <w:r w:rsidRPr="00A27F11">
              <w:t>Byggnadsindustri</w:t>
            </w:r>
          </w:p>
        </w:tc>
        <w:tc>
          <w:tcPr>
            <w:tcW w:w="514" w:type="dxa"/>
            <w:shd w:val="clear" w:color="auto" w:fill="auto"/>
          </w:tcPr>
          <w:p w:rsidR="00EC5AED" w:rsidRPr="004E0213" w:rsidRDefault="00EC5AED" w:rsidP="00043A1A">
            <w:pPr>
              <w:pStyle w:val="Tabellinnehllhger"/>
              <w:ind w:left="-567" w:firstLine="567"/>
              <w:rPr>
                <w:b/>
              </w:rPr>
            </w:pPr>
            <w:r w:rsidRPr="00A27F11">
              <w:t>3,9</w:t>
            </w:r>
          </w:p>
        </w:tc>
        <w:tc>
          <w:tcPr>
            <w:tcW w:w="515" w:type="dxa"/>
            <w:shd w:val="clear" w:color="auto" w:fill="auto"/>
          </w:tcPr>
          <w:p w:rsidR="00EC5AED" w:rsidRPr="004E0213" w:rsidRDefault="00EC5AED" w:rsidP="00043A1A">
            <w:pPr>
              <w:pStyle w:val="Tabellinnehllhger"/>
              <w:ind w:left="-567" w:firstLine="567"/>
              <w:rPr>
                <w:b/>
              </w:rPr>
            </w:pPr>
            <w:r w:rsidRPr="00A27F11">
              <w:t>4,8</w:t>
            </w:r>
          </w:p>
        </w:tc>
        <w:tc>
          <w:tcPr>
            <w:tcW w:w="515" w:type="dxa"/>
            <w:shd w:val="clear" w:color="auto" w:fill="auto"/>
          </w:tcPr>
          <w:p w:rsidR="00EC5AED" w:rsidRPr="004E0213" w:rsidRDefault="00EC5AED" w:rsidP="00043A1A">
            <w:pPr>
              <w:pStyle w:val="Tabellinnehllhger"/>
              <w:ind w:left="-567" w:firstLine="567"/>
              <w:rPr>
                <w:b/>
              </w:rPr>
            </w:pPr>
            <w:r w:rsidRPr="00A27F11">
              <w:t>3,7</w:t>
            </w:r>
          </w:p>
        </w:tc>
        <w:tc>
          <w:tcPr>
            <w:tcW w:w="514" w:type="dxa"/>
            <w:shd w:val="clear" w:color="auto" w:fill="auto"/>
          </w:tcPr>
          <w:p w:rsidR="00EC5AED" w:rsidRPr="004E0213" w:rsidRDefault="00EC5AED" w:rsidP="00043A1A">
            <w:pPr>
              <w:pStyle w:val="Tabellinnehllhger"/>
              <w:ind w:left="-567" w:firstLine="567"/>
              <w:rPr>
                <w:b/>
              </w:rPr>
            </w:pPr>
            <w:r w:rsidRPr="00A27F11">
              <w:t>3,8</w:t>
            </w:r>
          </w:p>
        </w:tc>
        <w:tc>
          <w:tcPr>
            <w:tcW w:w="515" w:type="dxa"/>
            <w:shd w:val="clear" w:color="auto" w:fill="auto"/>
          </w:tcPr>
          <w:p w:rsidR="00EC5AED" w:rsidRPr="004E0213" w:rsidRDefault="00EC5AED" w:rsidP="00043A1A">
            <w:pPr>
              <w:pStyle w:val="Tabellinnehllhger"/>
              <w:ind w:left="-567" w:firstLine="567"/>
              <w:rPr>
                <w:b/>
              </w:rPr>
            </w:pPr>
            <w:r w:rsidRPr="00A27F11">
              <w:t>2,6</w:t>
            </w:r>
          </w:p>
        </w:tc>
        <w:tc>
          <w:tcPr>
            <w:tcW w:w="515" w:type="dxa"/>
            <w:shd w:val="clear" w:color="auto" w:fill="auto"/>
          </w:tcPr>
          <w:p w:rsidR="00EC5AED" w:rsidRPr="00A27F11" w:rsidRDefault="00EC5AED" w:rsidP="00043A1A">
            <w:pPr>
              <w:pStyle w:val="Tabellinnehllhger"/>
              <w:ind w:left="-567" w:firstLine="567"/>
            </w:pPr>
            <w:r w:rsidRPr="00A27F11">
              <w:t>3,1</w:t>
            </w:r>
          </w:p>
        </w:tc>
        <w:tc>
          <w:tcPr>
            <w:tcW w:w="515" w:type="dxa"/>
            <w:shd w:val="clear" w:color="auto" w:fill="auto"/>
          </w:tcPr>
          <w:p w:rsidR="00EC5AED" w:rsidRPr="00A27F11" w:rsidRDefault="00EC5AED" w:rsidP="00043A1A">
            <w:pPr>
              <w:pStyle w:val="Tabellinnehllhger"/>
              <w:ind w:left="-567" w:firstLine="567"/>
            </w:pPr>
            <w:r w:rsidRPr="00A27F11">
              <w:t>3,4</w:t>
            </w:r>
          </w:p>
        </w:tc>
        <w:tc>
          <w:tcPr>
            <w:tcW w:w="514" w:type="dxa"/>
            <w:shd w:val="clear" w:color="auto" w:fill="auto"/>
          </w:tcPr>
          <w:p w:rsidR="00EC5AED" w:rsidRPr="00A27F11" w:rsidRDefault="00EC5AED" w:rsidP="00043A1A">
            <w:pPr>
              <w:pStyle w:val="Tabellinnehllhger"/>
              <w:ind w:left="-567" w:firstLine="567"/>
            </w:pPr>
            <w:r w:rsidRPr="00A27F11">
              <w:t>2,6</w:t>
            </w:r>
          </w:p>
        </w:tc>
        <w:tc>
          <w:tcPr>
            <w:tcW w:w="515" w:type="dxa"/>
            <w:shd w:val="clear" w:color="auto" w:fill="auto"/>
          </w:tcPr>
          <w:p w:rsidR="00EC5AED" w:rsidRPr="00A27F11" w:rsidRDefault="00EC5AED" w:rsidP="00043A1A">
            <w:pPr>
              <w:pStyle w:val="Tabellinnehllhger"/>
              <w:ind w:left="-567" w:firstLine="567"/>
            </w:pPr>
            <w:r w:rsidRPr="00A27F11">
              <w:t>4,5</w:t>
            </w:r>
          </w:p>
        </w:tc>
        <w:tc>
          <w:tcPr>
            <w:tcW w:w="515" w:type="dxa"/>
          </w:tcPr>
          <w:p w:rsidR="00EC5AED" w:rsidRDefault="00EC5AED" w:rsidP="00043A1A">
            <w:pPr>
              <w:pStyle w:val="Tabellinnehllhger"/>
              <w:ind w:left="-567" w:firstLine="567"/>
            </w:pPr>
            <w:r>
              <w:t>3,5</w:t>
            </w:r>
          </w:p>
        </w:tc>
        <w:tc>
          <w:tcPr>
            <w:tcW w:w="515" w:type="dxa"/>
            <w:shd w:val="clear" w:color="auto" w:fill="auto"/>
          </w:tcPr>
          <w:p w:rsidR="00EC5AED" w:rsidRDefault="00EC5AED" w:rsidP="00043A1A">
            <w:pPr>
              <w:pStyle w:val="Tabellinnehllhger"/>
              <w:ind w:left="-567" w:firstLine="567"/>
            </w:pPr>
            <w:r>
              <w:t>1,9</w:t>
            </w:r>
          </w:p>
        </w:tc>
        <w:tc>
          <w:tcPr>
            <w:tcW w:w="515" w:type="dxa"/>
          </w:tcPr>
          <w:p w:rsidR="00EC5AED" w:rsidRDefault="00EC5AED" w:rsidP="00043A1A">
            <w:pPr>
              <w:pStyle w:val="Tabellinnehllhger"/>
              <w:ind w:left="-567" w:firstLine="567"/>
            </w:pPr>
            <w:r>
              <w:t>3,0</w:t>
            </w:r>
          </w:p>
        </w:tc>
      </w:tr>
      <w:tr w:rsidR="00EC5AED" w:rsidRPr="002261D3" w:rsidTr="00043A1A">
        <w:trPr>
          <w:trHeight w:val="209"/>
        </w:trPr>
        <w:tc>
          <w:tcPr>
            <w:tcW w:w="1488" w:type="dxa"/>
            <w:tcBorders>
              <w:bottom w:val="single" w:sz="4" w:space="0" w:color="auto"/>
            </w:tcBorders>
            <w:shd w:val="clear" w:color="auto" w:fill="auto"/>
          </w:tcPr>
          <w:p w:rsidR="00EC5AED" w:rsidRPr="002261D3" w:rsidRDefault="00EC5AED" w:rsidP="00043A1A">
            <w:pPr>
              <w:pStyle w:val="Tabellinnehllhger"/>
              <w:ind w:left="-567" w:firstLine="567"/>
              <w:jc w:val="left"/>
            </w:pPr>
            <w:r w:rsidRPr="00A27F11">
              <w:t>Övrigt näringsliv</w:t>
            </w:r>
          </w:p>
        </w:tc>
        <w:tc>
          <w:tcPr>
            <w:tcW w:w="514" w:type="dxa"/>
            <w:tcBorders>
              <w:bottom w:val="single" w:sz="4" w:space="0" w:color="auto"/>
            </w:tcBorders>
            <w:shd w:val="clear" w:color="auto" w:fill="auto"/>
          </w:tcPr>
          <w:p w:rsidR="00EC5AED" w:rsidRPr="00A27F11" w:rsidRDefault="00EC5AED" w:rsidP="00043A1A">
            <w:pPr>
              <w:pStyle w:val="Tabellinnehllhger"/>
              <w:ind w:left="-567" w:firstLine="567"/>
            </w:pPr>
            <w:r w:rsidRPr="00A27F11">
              <w:t>3,4</w:t>
            </w:r>
          </w:p>
        </w:tc>
        <w:tc>
          <w:tcPr>
            <w:tcW w:w="515" w:type="dxa"/>
            <w:tcBorders>
              <w:bottom w:val="single" w:sz="4" w:space="0" w:color="auto"/>
            </w:tcBorders>
            <w:shd w:val="clear" w:color="auto" w:fill="auto"/>
          </w:tcPr>
          <w:p w:rsidR="00EC5AED" w:rsidRPr="00A27F11" w:rsidRDefault="00EC5AED" w:rsidP="00043A1A">
            <w:pPr>
              <w:pStyle w:val="Tabellinnehllhger"/>
              <w:ind w:left="-567" w:firstLine="567"/>
            </w:pPr>
            <w:r w:rsidRPr="00A27F11">
              <w:t>4,3</w:t>
            </w:r>
          </w:p>
        </w:tc>
        <w:tc>
          <w:tcPr>
            <w:tcW w:w="515" w:type="dxa"/>
            <w:tcBorders>
              <w:bottom w:val="single" w:sz="4" w:space="0" w:color="auto"/>
            </w:tcBorders>
            <w:shd w:val="clear" w:color="auto" w:fill="auto"/>
          </w:tcPr>
          <w:p w:rsidR="00EC5AED" w:rsidRPr="00A27F11" w:rsidRDefault="00EC5AED" w:rsidP="00043A1A">
            <w:pPr>
              <w:pStyle w:val="Tabellinnehllhger"/>
              <w:ind w:left="-567" w:firstLine="567"/>
            </w:pPr>
            <w:r w:rsidRPr="00A27F11">
              <w:t>3,8</w:t>
            </w:r>
          </w:p>
        </w:tc>
        <w:tc>
          <w:tcPr>
            <w:tcW w:w="514" w:type="dxa"/>
            <w:tcBorders>
              <w:bottom w:val="single" w:sz="4" w:space="0" w:color="auto"/>
            </w:tcBorders>
            <w:shd w:val="clear" w:color="auto" w:fill="auto"/>
          </w:tcPr>
          <w:p w:rsidR="00EC5AED" w:rsidRPr="00A27F11" w:rsidRDefault="00EC5AED" w:rsidP="00043A1A">
            <w:pPr>
              <w:pStyle w:val="Tabellinnehllhger"/>
              <w:ind w:left="-567" w:firstLine="567"/>
            </w:pPr>
            <w:r w:rsidRPr="00A27F11">
              <w:t>3,2</w:t>
            </w:r>
          </w:p>
        </w:tc>
        <w:tc>
          <w:tcPr>
            <w:tcW w:w="515" w:type="dxa"/>
            <w:tcBorders>
              <w:bottom w:val="single" w:sz="4" w:space="0" w:color="auto"/>
            </w:tcBorders>
            <w:shd w:val="clear" w:color="auto" w:fill="auto"/>
          </w:tcPr>
          <w:p w:rsidR="00EC5AED" w:rsidRPr="00A27F11" w:rsidRDefault="00EC5AED" w:rsidP="00043A1A">
            <w:pPr>
              <w:pStyle w:val="Tabellinnehllhger"/>
              <w:ind w:left="-567" w:firstLine="567"/>
            </w:pPr>
            <w:r w:rsidRPr="00A27F11">
              <w:t>3</w:t>
            </w:r>
            <w:r>
              <w:t>,0</w:t>
            </w:r>
          </w:p>
        </w:tc>
        <w:tc>
          <w:tcPr>
            <w:tcW w:w="515" w:type="dxa"/>
            <w:tcBorders>
              <w:bottom w:val="single" w:sz="4" w:space="0" w:color="auto"/>
            </w:tcBorders>
            <w:shd w:val="clear" w:color="auto" w:fill="auto"/>
          </w:tcPr>
          <w:p w:rsidR="00EC5AED" w:rsidRPr="00A27F11" w:rsidRDefault="00EC5AED" w:rsidP="00043A1A">
            <w:pPr>
              <w:pStyle w:val="Tabellinnehllhger"/>
              <w:ind w:left="-567" w:firstLine="567"/>
            </w:pPr>
            <w:r w:rsidRPr="00A27F11">
              <w:t>3,3</w:t>
            </w:r>
          </w:p>
        </w:tc>
        <w:tc>
          <w:tcPr>
            <w:tcW w:w="515" w:type="dxa"/>
            <w:tcBorders>
              <w:bottom w:val="single" w:sz="4" w:space="0" w:color="auto"/>
            </w:tcBorders>
            <w:shd w:val="clear" w:color="auto" w:fill="auto"/>
          </w:tcPr>
          <w:p w:rsidR="00EC5AED" w:rsidRPr="00A27F11" w:rsidRDefault="00EC5AED" w:rsidP="00043A1A">
            <w:pPr>
              <w:pStyle w:val="Tabellinnehllhger"/>
              <w:ind w:left="-567" w:firstLine="567"/>
            </w:pPr>
            <w:r w:rsidRPr="00A27F11">
              <w:t>3,1</w:t>
            </w:r>
          </w:p>
        </w:tc>
        <w:tc>
          <w:tcPr>
            <w:tcW w:w="514" w:type="dxa"/>
            <w:tcBorders>
              <w:bottom w:val="single" w:sz="4" w:space="0" w:color="auto"/>
            </w:tcBorders>
            <w:shd w:val="clear" w:color="auto" w:fill="auto"/>
          </w:tcPr>
          <w:p w:rsidR="00EC5AED" w:rsidRPr="00A27F11" w:rsidRDefault="00EC5AED" w:rsidP="00043A1A">
            <w:pPr>
              <w:pStyle w:val="Tabellinnehllhger"/>
              <w:ind w:left="-567" w:firstLine="567"/>
            </w:pPr>
            <w:r w:rsidRPr="00A27F11">
              <w:t>3,4</w:t>
            </w:r>
          </w:p>
        </w:tc>
        <w:tc>
          <w:tcPr>
            <w:tcW w:w="515" w:type="dxa"/>
            <w:tcBorders>
              <w:bottom w:val="single" w:sz="4" w:space="0" w:color="auto"/>
            </w:tcBorders>
            <w:shd w:val="clear" w:color="auto" w:fill="auto"/>
          </w:tcPr>
          <w:p w:rsidR="00EC5AED" w:rsidRPr="00A27F11" w:rsidRDefault="00EC5AED" w:rsidP="00043A1A">
            <w:pPr>
              <w:pStyle w:val="Tabellinnehllhger"/>
              <w:ind w:left="-567" w:firstLine="567"/>
            </w:pPr>
            <w:r w:rsidRPr="00A27F11">
              <w:t>3,8</w:t>
            </w:r>
          </w:p>
        </w:tc>
        <w:tc>
          <w:tcPr>
            <w:tcW w:w="515" w:type="dxa"/>
            <w:tcBorders>
              <w:bottom w:val="single" w:sz="4" w:space="0" w:color="auto"/>
            </w:tcBorders>
          </w:tcPr>
          <w:p w:rsidR="00EC5AED" w:rsidRPr="00A27F11" w:rsidRDefault="00EC5AED" w:rsidP="00043A1A">
            <w:pPr>
              <w:pStyle w:val="Tabellinnehllhger"/>
              <w:ind w:left="-567" w:firstLine="567"/>
            </w:pPr>
            <w:r>
              <w:t>3,2</w:t>
            </w:r>
          </w:p>
        </w:tc>
        <w:tc>
          <w:tcPr>
            <w:tcW w:w="515" w:type="dxa"/>
            <w:tcBorders>
              <w:bottom w:val="single" w:sz="4" w:space="0" w:color="auto"/>
            </w:tcBorders>
            <w:shd w:val="clear" w:color="auto" w:fill="auto"/>
          </w:tcPr>
          <w:p w:rsidR="00EC5AED" w:rsidRPr="00A27F11" w:rsidRDefault="00EC5AED" w:rsidP="00043A1A">
            <w:pPr>
              <w:pStyle w:val="Tabellinnehllhger"/>
              <w:ind w:left="-567" w:firstLine="567"/>
            </w:pPr>
            <w:r>
              <w:t>2,4</w:t>
            </w:r>
          </w:p>
        </w:tc>
        <w:tc>
          <w:tcPr>
            <w:tcW w:w="515" w:type="dxa"/>
            <w:tcBorders>
              <w:bottom w:val="single" w:sz="4" w:space="0" w:color="auto"/>
            </w:tcBorders>
          </w:tcPr>
          <w:p w:rsidR="00EC5AED" w:rsidRDefault="00EC5AED" w:rsidP="00043A1A">
            <w:pPr>
              <w:pStyle w:val="Tabellinnehllhger"/>
              <w:ind w:left="-567" w:firstLine="567"/>
            </w:pPr>
            <w:r>
              <w:t>2,5</w:t>
            </w:r>
          </w:p>
        </w:tc>
      </w:tr>
      <w:tr w:rsidR="00EC5AED" w:rsidRPr="00333C0E" w:rsidTr="00043A1A">
        <w:trPr>
          <w:trHeight w:val="209"/>
        </w:trPr>
        <w:tc>
          <w:tcPr>
            <w:tcW w:w="1488" w:type="dxa"/>
            <w:shd w:val="clear" w:color="auto" w:fill="FDE9D9"/>
          </w:tcPr>
          <w:p w:rsidR="00EC5AED" w:rsidRPr="00333C0E" w:rsidRDefault="00EC5AED" w:rsidP="00043A1A">
            <w:pPr>
              <w:pStyle w:val="Tabellinnehllhger"/>
              <w:ind w:left="-567" w:firstLine="567"/>
              <w:jc w:val="left"/>
              <w:rPr>
                <w:b/>
              </w:rPr>
            </w:pPr>
            <w:r w:rsidRPr="00333C0E">
              <w:rPr>
                <w:b/>
              </w:rPr>
              <w:t>Näringslivet</w:t>
            </w:r>
          </w:p>
        </w:tc>
        <w:tc>
          <w:tcPr>
            <w:tcW w:w="514" w:type="dxa"/>
            <w:shd w:val="clear" w:color="auto" w:fill="FDE9D9"/>
          </w:tcPr>
          <w:p w:rsidR="00EC5AED" w:rsidRPr="00333C0E" w:rsidRDefault="00EC5AED" w:rsidP="00043A1A">
            <w:pPr>
              <w:pStyle w:val="Tabellinnehllhger"/>
              <w:ind w:left="-567" w:firstLine="567"/>
              <w:rPr>
                <w:b/>
              </w:rPr>
            </w:pPr>
            <w:r w:rsidRPr="00333C0E">
              <w:rPr>
                <w:b/>
              </w:rPr>
              <w:t>3,7</w:t>
            </w:r>
          </w:p>
        </w:tc>
        <w:tc>
          <w:tcPr>
            <w:tcW w:w="515" w:type="dxa"/>
            <w:shd w:val="clear" w:color="auto" w:fill="FDE9D9"/>
          </w:tcPr>
          <w:p w:rsidR="00EC5AED" w:rsidRPr="00333C0E" w:rsidRDefault="00EC5AED" w:rsidP="00043A1A">
            <w:pPr>
              <w:pStyle w:val="Tabellinnehllhger"/>
              <w:ind w:left="-567" w:firstLine="567"/>
              <w:rPr>
                <w:b/>
              </w:rPr>
            </w:pPr>
            <w:r w:rsidRPr="00333C0E">
              <w:rPr>
                <w:b/>
              </w:rPr>
              <w:t>4,2</w:t>
            </w:r>
          </w:p>
        </w:tc>
        <w:tc>
          <w:tcPr>
            <w:tcW w:w="515" w:type="dxa"/>
            <w:shd w:val="clear" w:color="auto" w:fill="FDE9D9"/>
          </w:tcPr>
          <w:p w:rsidR="00EC5AED" w:rsidRPr="00333C0E" w:rsidRDefault="00EC5AED" w:rsidP="00043A1A">
            <w:pPr>
              <w:pStyle w:val="Tabellinnehllhger"/>
              <w:ind w:left="-567" w:firstLine="567"/>
              <w:rPr>
                <w:b/>
              </w:rPr>
            </w:pPr>
            <w:r w:rsidRPr="00333C0E">
              <w:rPr>
                <w:b/>
              </w:rPr>
              <w:t>3,9</w:t>
            </w:r>
          </w:p>
        </w:tc>
        <w:tc>
          <w:tcPr>
            <w:tcW w:w="514" w:type="dxa"/>
            <w:shd w:val="clear" w:color="auto" w:fill="FDE9D9"/>
          </w:tcPr>
          <w:p w:rsidR="00EC5AED" w:rsidRPr="00333C0E" w:rsidRDefault="00EC5AED" w:rsidP="00043A1A">
            <w:pPr>
              <w:pStyle w:val="Tabellinnehllhger"/>
              <w:ind w:left="-567" w:firstLine="567"/>
              <w:rPr>
                <w:b/>
              </w:rPr>
            </w:pPr>
            <w:r w:rsidRPr="00333C0E">
              <w:rPr>
                <w:b/>
              </w:rPr>
              <w:t>3,3</w:t>
            </w:r>
          </w:p>
        </w:tc>
        <w:tc>
          <w:tcPr>
            <w:tcW w:w="515" w:type="dxa"/>
            <w:shd w:val="clear" w:color="auto" w:fill="FDE9D9"/>
          </w:tcPr>
          <w:p w:rsidR="00EC5AED" w:rsidRPr="00333C0E" w:rsidRDefault="00EC5AED" w:rsidP="00043A1A">
            <w:pPr>
              <w:pStyle w:val="Tabellinnehllhger"/>
              <w:ind w:left="-567" w:firstLine="567"/>
              <w:rPr>
                <w:b/>
              </w:rPr>
            </w:pPr>
            <w:r w:rsidRPr="00333C0E">
              <w:rPr>
                <w:b/>
              </w:rPr>
              <w:t>3,0</w:t>
            </w:r>
          </w:p>
        </w:tc>
        <w:tc>
          <w:tcPr>
            <w:tcW w:w="515" w:type="dxa"/>
            <w:shd w:val="clear" w:color="auto" w:fill="FDE9D9"/>
          </w:tcPr>
          <w:p w:rsidR="00EC5AED" w:rsidRPr="00333C0E" w:rsidRDefault="00EC5AED" w:rsidP="00043A1A">
            <w:pPr>
              <w:pStyle w:val="Tabellinnehllhger"/>
              <w:ind w:left="-567" w:firstLine="567"/>
              <w:rPr>
                <w:b/>
              </w:rPr>
            </w:pPr>
            <w:r w:rsidRPr="00333C0E">
              <w:rPr>
                <w:b/>
              </w:rPr>
              <w:t>3,2</w:t>
            </w:r>
          </w:p>
        </w:tc>
        <w:tc>
          <w:tcPr>
            <w:tcW w:w="515" w:type="dxa"/>
            <w:shd w:val="clear" w:color="auto" w:fill="FDE9D9"/>
          </w:tcPr>
          <w:p w:rsidR="00EC5AED" w:rsidRPr="00333C0E" w:rsidRDefault="00EC5AED" w:rsidP="00043A1A">
            <w:pPr>
              <w:pStyle w:val="Tabellinnehllhger"/>
              <w:ind w:left="-567" w:firstLine="567"/>
              <w:rPr>
                <w:b/>
              </w:rPr>
            </w:pPr>
            <w:r w:rsidRPr="00333C0E">
              <w:rPr>
                <w:b/>
              </w:rPr>
              <w:t>3,1</w:t>
            </w:r>
          </w:p>
        </w:tc>
        <w:tc>
          <w:tcPr>
            <w:tcW w:w="514" w:type="dxa"/>
            <w:shd w:val="clear" w:color="auto" w:fill="FDE9D9"/>
          </w:tcPr>
          <w:p w:rsidR="00EC5AED" w:rsidRPr="00333C0E" w:rsidRDefault="00EC5AED" w:rsidP="00043A1A">
            <w:pPr>
              <w:pStyle w:val="Tabellinnehllhger"/>
              <w:ind w:left="-567" w:firstLine="567"/>
              <w:rPr>
                <w:b/>
              </w:rPr>
            </w:pPr>
            <w:r w:rsidRPr="00333C0E">
              <w:rPr>
                <w:b/>
              </w:rPr>
              <w:t>3,4</w:t>
            </w:r>
          </w:p>
        </w:tc>
        <w:tc>
          <w:tcPr>
            <w:tcW w:w="515" w:type="dxa"/>
            <w:shd w:val="clear" w:color="auto" w:fill="FDE9D9"/>
          </w:tcPr>
          <w:p w:rsidR="00EC5AED" w:rsidRPr="00333C0E" w:rsidRDefault="00EC5AED" w:rsidP="00043A1A">
            <w:pPr>
              <w:pStyle w:val="Tabellinnehllhger"/>
              <w:ind w:left="-567" w:firstLine="567"/>
              <w:rPr>
                <w:b/>
              </w:rPr>
            </w:pPr>
            <w:r w:rsidRPr="00333C0E">
              <w:rPr>
                <w:b/>
              </w:rPr>
              <w:t>4,0</w:t>
            </w:r>
          </w:p>
        </w:tc>
        <w:tc>
          <w:tcPr>
            <w:tcW w:w="515" w:type="dxa"/>
            <w:shd w:val="clear" w:color="auto" w:fill="FDE9D9"/>
          </w:tcPr>
          <w:p w:rsidR="00EC5AED" w:rsidRPr="00333C0E" w:rsidRDefault="00EC5AED" w:rsidP="00043A1A">
            <w:pPr>
              <w:pStyle w:val="Tabellinnehllhger"/>
              <w:ind w:left="-567" w:firstLine="567"/>
              <w:rPr>
                <w:b/>
              </w:rPr>
            </w:pPr>
            <w:r w:rsidRPr="00333C0E">
              <w:rPr>
                <w:b/>
              </w:rPr>
              <w:t>3,2</w:t>
            </w:r>
          </w:p>
        </w:tc>
        <w:tc>
          <w:tcPr>
            <w:tcW w:w="515" w:type="dxa"/>
            <w:shd w:val="clear" w:color="auto" w:fill="FDE9D9"/>
          </w:tcPr>
          <w:p w:rsidR="00EC5AED" w:rsidRPr="00333C0E" w:rsidRDefault="00EC5AED" w:rsidP="00043A1A">
            <w:pPr>
              <w:pStyle w:val="Tabellinnehllhger"/>
              <w:ind w:left="-567" w:firstLine="567"/>
              <w:rPr>
                <w:b/>
              </w:rPr>
            </w:pPr>
            <w:r w:rsidRPr="00333C0E">
              <w:rPr>
                <w:b/>
              </w:rPr>
              <w:t>2,5</w:t>
            </w:r>
          </w:p>
        </w:tc>
        <w:tc>
          <w:tcPr>
            <w:tcW w:w="515" w:type="dxa"/>
            <w:shd w:val="clear" w:color="auto" w:fill="FDE9D9"/>
          </w:tcPr>
          <w:p w:rsidR="00EC5AED" w:rsidRPr="00333C0E" w:rsidRDefault="00EC5AED" w:rsidP="00043A1A">
            <w:pPr>
              <w:pStyle w:val="Tabellinnehllhger"/>
              <w:ind w:left="-567" w:firstLine="567"/>
              <w:rPr>
                <w:b/>
              </w:rPr>
            </w:pPr>
            <w:r>
              <w:rPr>
                <w:b/>
              </w:rPr>
              <w:t>2,6</w:t>
            </w:r>
          </w:p>
        </w:tc>
      </w:tr>
      <w:tr w:rsidR="00EC5AED" w:rsidRPr="00A27F11" w:rsidTr="00043A1A">
        <w:trPr>
          <w:trHeight w:val="209"/>
        </w:trPr>
        <w:tc>
          <w:tcPr>
            <w:tcW w:w="1488" w:type="dxa"/>
            <w:shd w:val="clear" w:color="auto" w:fill="auto"/>
          </w:tcPr>
          <w:p w:rsidR="00EC5AED" w:rsidRPr="00A27F11" w:rsidRDefault="00EC5AED" w:rsidP="00043A1A">
            <w:pPr>
              <w:pStyle w:val="Tabellinnehllhger"/>
              <w:ind w:left="-567" w:firstLine="567"/>
              <w:jc w:val="left"/>
            </w:pPr>
            <w:r w:rsidRPr="00A27F11">
              <w:t>Kommuner</w:t>
            </w:r>
          </w:p>
        </w:tc>
        <w:tc>
          <w:tcPr>
            <w:tcW w:w="514" w:type="dxa"/>
            <w:shd w:val="clear" w:color="auto" w:fill="auto"/>
          </w:tcPr>
          <w:p w:rsidR="00EC5AED" w:rsidRPr="00A27F11" w:rsidRDefault="00EC5AED" w:rsidP="00043A1A">
            <w:pPr>
              <w:pStyle w:val="Tabellinnehllhger"/>
              <w:ind w:left="-567" w:firstLine="567"/>
            </w:pPr>
            <w:r w:rsidRPr="00A27F11">
              <w:t>3,3</w:t>
            </w:r>
          </w:p>
        </w:tc>
        <w:tc>
          <w:tcPr>
            <w:tcW w:w="515" w:type="dxa"/>
            <w:shd w:val="clear" w:color="auto" w:fill="auto"/>
          </w:tcPr>
          <w:p w:rsidR="00EC5AED" w:rsidRPr="00A27F11" w:rsidRDefault="00EC5AED" w:rsidP="00043A1A">
            <w:pPr>
              <w:pStyle w:val="Tabellinnehllhger"/>
              <w:ind w:left="-567" w:firstLine="567"/>
            </w:pPr>
            <w:r w:rsidRPr="00A27F11">
              <w:t>4,8</w:t>
            </w:r>
          </w:p>
        </w:tc>
        <w:tc>
          <w:tcPr>
            <w:tcW w:w="515" w:type="dxa"/>
            <w:shd w:val="clear" w:color="auto" w:fill="auto"/>
          </w:tcPr>
          <w:p w:rsidR="00EC5AED" w:rsidRPr="00A27F11" w:rsidRDefault="00EC5AED" w:rsidP="00043A1A">
            <w:pPr>
              <w:pStyle w:val="Tabellinnehllhger"/>
              <w:ind w:left="-567" w:firstLine="567"/>
            </w:pPr>
            <w:r w:rsidRPr="00A27F11">
              <w:t>4,4</w:t>
            </w:r>
          </w:p>
        </w:tc>
        <w:tc>
          <w:tcPr>
            <w:tcW w:w="514" w:type="dxa"/>
            <w:shd w:val="clear" w:color="auto" w:fill="auto"/>
          </w:tcPr>
          <w:p w:rsidR="00EC5AED" w:rsidRPr="00A27F11" w:rsidRDefault="00EC5AED" w:rsidP="00043A1A">
            <w:pPr>
              <w:pStyle w:val="Tabellinnehllhger"/>
              <w:ind w:left="-567" w:firstLine="567"/>
            </w:pPr>
            <w:r w:rsidRPr="00A27F11">
              <w:t>3,6</w:t>
            </w:r>
          </w:p>
        </w:tc>
        <w:tc>
          <w:tcPr>
            <w:tcW w:w="515" w:type="dxa"/>
            <w:shd w:val="clear" w:color="auto" w:fill="auto"/>
          </w:tcPr>
          <w:p w:rsidR="00EC5AED" w:rsidRPr="00A27F11" w:rsidRDefault="00EC5AED" w:rsidP="00043A1A">
            <w:pPr>
              <w:pStyle w:val="Tabellinnehllhger"/>
              <w:ind w:left="-567" w:firstLine="567"/>
            </w:pPr>
            <w:r>
              <w:t>4,0</w:t>
            </w:r>
          </w:p>
        </w:tc>
        <w:tc>
          <w:tcPr>
            <w:tcW w:w="515" w:type="dxa"/>
            <w:shd w:val="clear" w:color="auto" w:fill="auto"/>
          </w:tcPr>
          <w:p w:rsidR="00EC5AED" w:rsidRPr="00A27F11" w:rsidRDefault="00EC5AED" w:rsidP="00043A1A">
            <w:pPr>
              <w:pStyle w:val="Tabellinnehllhger"/>
              <w:ind w:left="-567" w:firstLine="567"/>
            </w:pPr>
            <w:r w:rsidRPr="00A27F11">
              <w:t>2,8</w:t>
            </w:r>
          </w:p>
        </w:tc>
        <w:tc>
          <w:tcPr>
            <w:tcW w:w="515" w:type="dxa"/>
            <w:shd w:val="clear" w:color="auto" w:fill="auto"/>
          </w:tcPr>
          <w:p w:rsidR="00EC5AED" w:rsidRPr="00A27F11" w:rsidRDefault="00EC5AED" w:rsidP="00043A1A">
            <w:pPr>
              <w:pStyle w:val="Tabellinnehllhger"/>
              <w:ind w:left="-567" w:firstLine="567"/>
            </w:pPr>
            <w:r w:rsidRPr="00A27F11">
              <w:t>2,7</w:t>
            </w:r>
          </w:p>
        </w:tc>
        <w:tc>
          <w:tcPr>
            <w:tcW w:w="514" w:type="dxa"/>
            <w:shd w:val="clear" w:color="auto" w:fill="auto"/>
          </w:tcPr>
          <w:p w:rsidR="00EC5AED" w:rsidRPr="00A27F11" w:rsidRDefault="00EC5AED" w:rsidP="00043A1A">
            <w:pPr>
              <w:pStyle w:val="Tabellinnehllhger"/>
              <w:ind w:left="-567" w:firstLine="567"/>
            </w:pPr>
            <w:r w:rsidRPr="00A27F11">
              <w:t>2,8</w:t>
            </w:r>
          </w:p>
        </w:tc>
        <w:tc>
          <w:tcPr>
            <w:tcW w:w="515" w:type="dxa"/>
            <w:shd w:val="clear" w:color="auto" w:fill="auto"/>
          </w:tcPr>
          <w:p w:rsidR="00EC5AED" w:rsidRPr="00A27F11" w:rsidRDefault="00EC5AED" w:rsidP="00043A1A">
            <w:pPr>
              <w:pStyle w:val="Tabellinnehllhger"/>
              <w:ind w:left="-567" w:firstLine="567"/>
            </w:pPr>
            <w:r w:rsidRPr="00A27F11">
              <w:t>5,2</w:t>
            </w:r>
          </w:p>
        </w:tc>
        <w:tc>
          <w:tcPr>
            <w:tcW w:w="515" w:type="dxa"/>
          </w:tcPr>
          <w:p w:rsidR="00EC5AED" w:rsidRPr="00A27F11" w:rsidRDefault="00EC5AED" w:rsidP="00043A1A">
            <w:pPr>
              <w:pStyle w:val="Tabellinnehllhger"/>
              <w:ind w:left="-567" w:firstLine="567"/>
            </w:pPr>
            <w:r>
              <w:t>3,8</w:t>
            </w:r>
          </w:p>
        </w:tc>
        <w:tc>
          <w:tcPr>
            <w:tcW w:w="515" w:type="dxa"/>
            <w:shd w:val="clear" w:color="auto" w:fill="auto"/>
          </w:tcPr>
          <w:p w:rsidR="00EC5AED" w:rsidRPr="00A27F11" w:rsidRDefault="00EC5AED" w:rsidP="00043A1A">
            <w:pPr>
              <w:pStyle w:val="Tabellinnehllhger"/>
              <w:ind w:left="-567" w:firstLine="567"/>
            </w:pPr>
            <w:r>
              <w:t>2,5</w:t>
            </w:r>
          </w:p>
        </w:tc>
        <w:tc>
          <w:tcPr>
            <w:tcW w:w="515" w:type="dxa"/>
          </w:tcPr>
          <w:p w:rsidR="00EC5AED" w:rsidRDefault="00EC5AED" w:rsidP="00043A1A">
            <w:pPr>
              <w:pStyle w:val="Tabellinnehllhger"/>
              <w:ind w:left="-567" w:firstLine="567"/>
            </w:pPr>
            <w:r>
              <w:t>2,2</w:t>
            </w:r>
          </w:p>
        </w:tc>
      </w:tr>
      <w:tr w:rsidR="00EC5AED" w:rsidRPr="00A27F11" w:rsidTr="00043A1A">
        <w:trPr>
          <w:trHeight w:val="209"/>
        </w:trPr>
        <w:tc>
          <w:tcPr>
            <w:tcW w:w="1488" w:type="dxa"/>
            <w:tcBorders>
              <w:bottom w:val="single" w:sz="4" w:space="0" w:color="auto"/>
            </w:tcBorders>
            <w:shd w:val="clear" w:color="auto" w:fill="auto"/>
          </w:tcPr>
          <w:p w:rsidR="00EC5AED" w:rsidRPr="00A27F11" w:rsidRDefault="00EC5AED" w:rsidP="00043A1A">
            <w:pPr>
              <w:pStyle w:val="Tabellinnehllhger"/>
              <w:ind w:left="-567" w:firstLine="567"/>
              <w:jc w:val="left"/>
            </w:pPr>
            <w:r w:rsidRPr="00A27F11">
              <w:t>Landsting</w:t>
            </w:r>
          </w:p>
        </w:tc>
        <w:tc>
          <w:tcPr>
            <w:tcW w:w="514" w:type="dxa"/>
            <w:tcBorders>
              <w:bottom w:val="single" w:sz="4" w:space="0" w:color="auto"/>
            </w:tcBorders>
            <w:shd w:val="clear" w:color="auto" w:fill="auto"/>
          </w:tcPr>
          <w:p w:rsidR="00EC5AED" w:rsidRPr="00A27F11" w:rsidRDefault="00EC5AED" w:rsidP="00043A1A">
            <w:pPr>
              <w:pStyle w:val="Tabellinnehllhger"/>
              <w:ind w:left="-567" w:firstLine="567"/>
            </w:pPr>
            <w:r w:rsidRPr="00A27F11">
              <w:t>4,2</w:t>
            </w:r>
          </w:p>
        </w:tc>
        <w:tc>
          <w:tcPr>
            <w:tcW w:w="515" w:type="dxa"/>
            <w:tcBorders>
              <w:bottom w:val="single" w:sz="4" w:space="0" w:color="auto"/>
            </w:tcBorders>
            <w:shd w:val="clear" w:color="auto" w:fill="auto"/>
          </w:tcPr>
          <w:p w:rsidR="00EC5AED" w:rsidRPr="00A27F11" w:rsidRDefault="00EC5AED" w:rsidP="00043A1A">
            <w:pPr>
              <w:pStyle w:val="Tabellinnehllhger"/>
              <w:ind w:left="-567" w:firstLine="567"/>
            </w:pPr>
            <w:r>
              <w:t>5,0</w:t>
            </w:r>
          </w:p>
        </w:tc>
        <w:tc>
          <w:tcPr>
            <w:tcW w:w="515" w:type="dxa"/>
            <w:tcBorders>
              <w:bottom w:val="single" w:sz="4" w:space="0" w:color="auto"/>
            </w:tcBorders>
            <w:shd w:val="clear" w:color="auto" w:fill="auto"/>
          </w:tcPr>
          <w:p w:rsidR="00EC5AED" w:rsidRPr="00A27F11" w:rsidRDefault="00EC5AED" w:rsidP="00043A1A">
            <w:pPr>
              <w:pStyle w:val="Tabellinnehllhger"/>
              <w:ind w:left="-567" w:firstLine="567"/>
            </w:pPr>
            <w:r w:rsidRPr="00A27F11">
              <w:t>4,7</w:t>
            </w:r>
          </w:p>
        </w:tc>
        <w:tc>
          <w:tcPr>
            <w:tcW w:w="514" w:type="dxa"/>
            <w:tcBorders>
              <w:bottom w:val="single" w:sz="4" w:space="0" w:color="auto"/>
            </w:tcBorders>
            <w:shd w:val="clear" w:color="auto" w:fill="auto"/>
          </w:tcPr>
          <w:p w:rsidR="00EC5AED" w:rsidRPr="00A27F11" w:rsidRDefault="00EC5AED" w:rsidP="00043A1A">
            <w:pPr>
              <w:pStyle w:val="Tabellinnehllhger"/>
              <w:ind w:left="-567" w:firstLine="567"/>
            </w:pPr>
            <w:r w:rsidRPr="00A27F11">
              <w:t>4,2</w:t>
            </w:r>
          </w:p>
        </w:tc>
        <w:tc>
          <w:tcPr>
            <w:tcW w:w="515" w:type="dxa"/>
            <w:tcBorders>
              <w:bottom w:val="single" w:sz="4" w:space="0" w:color="auto"/>
            </w:tcBorders>
            <w:shd w:val="clear" w:color="auto" w:fill="auto"/>
          </w:tcPr>
          <w:p w:rsidR="00EC5AED" w:rsidRPr="00A27F11" w:rsidRDefault="00EC5AED" w:rsidP="00043A1A">
            <w:pPr>
              <w:pStyle w:val="Tabellinnehllhger"/>
              <w:ind w:left="-567" w:firstLine="567"/>
            </w:pPr>
            <w:r w:rsidRPr="00A27F11">
              <w:t>4,5</w:t>
            </w:r>
          </w:p>
        </w:tc>
        <w:tc>
          <w:tcPr>
            <w:tcW w:w="515" w:type="dxa"/>
            <w:tcBorders>
              <w:bottom w:val="single" w:sz="4" w:space="0" w:color="auto"/>
            </w:tcBorders>
            <w:shd w:val="clear" w:color="auto" w:fill="auto"/>
          </w:tcPr>
          <w:p w:rsidR="00EC5AED" w:rsidRPr="00A27F11" w:rsidRDefault="00EC5AED" w:rsidP="00043A1A">
            <w:pPr>
              <w:pStyle w:val="Tabellinnehllhger"/>
              <w:ind w:left="-567" w:firstLine="567"/>
            </w:pPr>
            <w:r w:rsidRPr="00A27F11">
              <w:t>2,9</w:t>
            </w:r>
          </w:p>
        </w:tc>
        <w:tc>
          <w:tcPr>
            <w:tcW w:w="515" w:type="dxa"/>
            <w:tcBorders>
              <w:bottom w:val="single" w:sz="4" w:space="0" w:color="auto"/>
            </w:tcBorders>
            <w:shd w:val="clear" w:color="auto" w:fill="auto"/>
          </w:tcPr>
          <w:p w:rsidR="00EC5AED" w:rsidRPr="00A27F11" w:rsidRDefault="00EC5AED" w:rsidP="00043A1A">
            <w:pPr>
              <w:pStyle w:val="Tabellinnehllhger"/>
              <w:ind w:left="-567" w:firstLine="567"/>
            </w:pPr>
            <w:r>
              <w:t>3,0</w:t>
            </w:r>
          </w:p>
        </w:tc>
        <w:tc>
          <w:tcPr>
            <w:tcW w:w="514" w:type="dxa"/>
            <w:tcBorders>
              <w:bottom w:val="single" w:sz="4" w:space="0" w:color="auto"/>
            </w:tcBorders>
            <w:shd w:val="clear" w:color="auto" w:fill="auto"/>
          </w:tcPr>
          <w:p w:rsidR="00EC5AED" w:rsidRPr="00A27F11" w:rsidRDefault="00EC5AED" w:rsidP="00043A1A">
            <w:pPr>
              <w:pStyle w:val="Tabellinnehllhger"/>
              <w:ind w:left="-567" w:firstLine="567"/>
            </w:pPr>
            <w:r w:rsidRPr="00A27F11">
              <w:t>3,4</w:t>
            </w:r>
          </w:p>
        </w:tc>
        <w:tc>
          <w:tcPr>
            <w:tcW w:w="515" w:type="dxa"/>
            <w:tcBorders>
              <w:bottom w:val="single" w:sz="4" w:space="0" w:color="auto"/>
            </w:tcBorders>
            <w:shd w:val="clear" w:color="auto" w:fill="auto"/>
          </w:tcPr>
          <w:p w:rsidR="00EC5AED" w:rsidRPr="00A27F11" w:rsidRDefault="00EC5AED" w:rsidP="00043A1A">
            <w:pPr>
              <w:pStyle w:val="Tabellinnehllhger"/>
              <w:ind w:left="-567" w:firstLine="567"/>
            </w:pPr>
            <w:r>
              <w:t>4,6</w:t>
            </w:r>
          </w:p>
        </w:tc>
        <w:tc>
          <w:tcPr>
            <w:tcW w:w="515" w:type="dxa"/>
            <w:tcBorders>
              <w:bottom w:val="single" w:sz="4" w:space="0" w:color="auto"/>
            </w:tcBorders>
          </w:tcPr>
          <w:p w:rsidR="00EC5AED" w:rsidRPr="00A27F11" w:rsidRDefault="00EC5AED" w:rsidP="00043A1A">
            <w:pPr>
              <w:pStyle w:val="Tabellinnehllhger"/>
              <w:ind w:left="-567" w:firstLine="567"/>
            </w:pPr>
            <w:r>
              <w:t>4,3</w:t>
            </w:r>
          </w:p>
        </w:tc>
        <w:tc>
          <w:tcPr>
            <w:tcW w:w="515" w:type="dxa"/>
            <w:tcBorders>
              <w:bottom w:val="single" w:sz="4" w:space="0" w:color="auto"/>
            </w:tcBorders>
            <w:shd w:val="clear" w:color="auto" w:fill="auto"/>
          </w:tcPr>
          <w:p w:rsidR="00EC5AED" w:rsidRPr="00A27F11" w:rsidRDefault="00EC5AED" w:rsidP="00043A1A">
            <w:pPr>
              <w:pStyle w:val="Tabellinnehllhger"/>
              <w:ind w:left="-567" w:firstLine="567"/>
            </w:pPr>
            <w:r>
              <w:t>3,2</w:t>
            </w:r>
          </w:p>
        </w:tc>
        <w:tc>
          <w:tcPr>
            <w:tcW w:w="515" w:type="dxa"/>
            <w:tcBorders>
              <w:bottom w:val="single" w:sz="4" w:space="0" w:color="auto"/>
            </w:tcBorders>
          </w:tcPr>
          <w:p w:rsidR="00EC5AED" w:rsidRDefault="00EC5AED" w:rsidP="00043A1A">
            <w:pPr>
              <w:pStyle w:val="Tabellinnehllhger"/>
              <w:ind w:left="-567" w:firstLine="567"/>
            </w:pPr>
            <w:r>
              <w:t>2,6</w:t>
            </w:r>
          </w:p>
        </w:tc>
      </w:tr>
      <w:tr w:rsidR="00EC5AED" w:rsidRPr="004E0213" w:rsidTr="00043A1A">
        <w:trPr>
          <w:trHeight w:val="209"/>
        </w:trPr>
        <w:tc>
          <w:tcPr>
            <w:tcW w:w="1488" w:type="dxa"/>
            <w:tcBorders>
              <w:bottom w:val="single" w:sz="4" w:space="0" w:color="auto"/>
            </w:tcBorders>
            <w:shd w:val="clear" w:color="auto" w:fill="auto"/>
          </w:tcPr>
          <w:p w:rsidR="00EC5AED" w:rsidRPr="002363B8" w:rsidRDefault="00EC5AED" w:rsidP="00043A1A">
            <w:pPr>
              <w:pStyle w:val="Tabellinnehllhger"/>
              <w:ind w:left="-567" w:firstLine="567"/>
              <w:jc w:val="left"/>
            </w:pPr>
            <w:r w:rsidRPr="002363B8">
              <w:t xml:space="preserve">Kommunal </w:t>
            </w:r>
            <w:r>
              <w:t xml:space="preserve"> </w:t>
            </w:r>
            <w:r w:rsidRPr="002363B8">
              <w:t>sektor</w:t>
            </w:r>
          </w:p>
        </w:tc>
        <w:tc>
          <w:tcPr>
            <w:tcW w:w="514" w:type="dxa"/>
            <w:tcBorders>
              <w:bottom w:val="single" w:sz="4" w:space="0" w:color="auto"/>
            </w:tcBorders>
            <w:shd w:val="clear" w:color="auto" w:fill="auto"/>
          </w:tcPr>
          <w:p w:rsidR="00EC5AED" w:rsidRPr="00333C0E" w:rsidRDefault="00EC5AED" w:rsidP="00043A1A">
            <w:pPr>
              <w:pStyle w:val="Tabellinnehllhger"/>
              <w:ind w:left="-567" w:firstLine="567"/>
            </w:pPr>
            <w:r w:rsidRPr="00333C0E">
              <w:t>3,6</w:t>
            </w:r>
          </w:p>
        </w:tc>
        <w:tc>
          <w:tcPr>
            <w:tcW w:w="515" w:type="dxa"/>
            <w:tcBorders>
              <w:bottom w:val="single" w:sz="4" w:space="0" w:color="auto"/>
            </w:tcBorders>
            <w:shd w:val="clear" w:color="auto" w:fill="auto"/>
          </w:tcPr>
          <w:p w:rsidR="00EC5AED" w:rsidRPr="00333C0E" w:rsidRDefault="00EC5AED" w:rsidP="00043A1A">
            <w:pPr>
              <w:pStyle w:val="Tabellinnehllhger"/>
              <w:ind w:left="-567" w:firstLine="567"/>
            </w:pPr>
            <w:r w:rsidRPr="00333C0E">
              <w:t>4,9</w:t>
            </w:r>
          </w:p>
        </w:tc>
        <w:tc>
          <w:tcPr>
            <w:tcW w:w="515" w:type="dxa"/>
            <w:tcBorders>
              <w:bottom w:val="single" w:sz="4" w:space="0" w:color="auto"/>
            </w:tcBorders>
            <w:shd w:val="clear" w:color="auto" w:fill="auto"/>
          </w:tcPr>
          <w:p w:rsidR="00EC5AED" w:rsidRPr="00333C0E" w:rsidRDefault="00EC5AED" w:rsidP="00043A1A">
            <w:pPr>
              <w:pStyle w:val="Tabellinnehllhger"/>
              <w:ind w:left="-567" w:firstLine="567"/>
            </w:pPr>
            <w:r w:rsidRPr="00333C0E">
              <w:t>4,5</w:t>
            </w:r>
          </w:p>
        </w:tc>
        <w:tc>
          <w:tcPr>
            <w:tcW w:w="514" w:type="dxa"/>
            <w:tcBorders>
              <w:bottom w:val="single" w:sz="4" w:space="0" w:color="auto"/>
            </w:tcBorders>
            <w:shd w:val="clear" w:color="auto" w:fill="auto"/>
          </w:tcPr>
          <w:p w:rsidR="00EC5AED" w:rsidRPr="00333C0E" w:rsidRDefault="00EC5AED" w:rsidP="00043A1A">
            <w:pPr>
              <w:pStyle w:val="Tabellinnehllhger"/>
              <w:ind w:left="-567" w:firstLine="567"/>
            </w:pPr>
            <w:r w:rsidRPr="00333C0E">
              <w:t>3,8</w:t>
            </w:r>
          </w:p>
        </w:tc>
        <w:tc>
          <w:tcPr>
            <w:tcW w:w="515" w:type="dxa"/>
            <w:tcBorders>
              <w:bottom w:val="single" w:sz="4" w:space="0" w:color="auto"/>
            </w:tcBorders>
            <w:shd w:val="clear" w:color="auto" w:fill="auto"/>
          </w:tcPr>
          <w:p w:rsidR="00EC5AED" w:rsidRPr="00333C0E" w:rsidRDefault="00EC5AED" w:rsidP="00043A1A">
            <w:pPr>
              <w:pStyle w:val="Tabellinnehllhger"/>
              <w:ind w:left="-567" w:firstLine="567"/>
            </w:pPr>
            <w:r w:rsidRPr="00333C0E">
              <w:t>4,2</w:t>
            </w:r>
          </w:p>
        </w:tc>
        <w:tc>
          <w:tcPr>
            <w:tcW w:w="515" w:type="dxa"/>
            <w:tcBorders>
              <w:bottom w:val="single" w:sz="4" w:space="0" w:color="auto"/>
            </w:tcBorders>
            <w:shd w:val="clear" w:color="auto" w:fill="auto"/>
          </w:tcPr>
          <w:p w:rsidR="00EC5AED" w:rsidRPr="00333C0E" w:rsidRDefault="00EC5AED" w:rsidP="00043A1A">
            <w:pPr>
              <w:pStyle w:val="Tabellinnehllhger"/>
              <w:ind w:left="-567" w:firstLine="567"/>
            </w:pPr>
            <w:r w:rsidRPr="00333C0E">
              <w:t>2,8</w:t>
            </w:r>
          </w:p>
        </w:tc>
        <w:tc>
          <w:tcPr>
            <w:tcW w:w="515" w:type="dxa"/>
            <w:tcBorders>
              <w:bottom w:val="single" w:sz="4" w:space="0" w:color="auto"/>
            </w:tcBorders>
            <w:shd w:val="clear" w:color="auto" w:fill="auto"/>
          </w:tcPr>
          <w:p w:rsidR="00EC5AED" w:rsidRPr="00333C0E" w:rsidRDefault="00EC5AED" w:rsidP="00043A1A">
            <w:pPr>
              <w:pStyle w:val="Tabellinnehllhger"/>
              <w:ind w:left="-567" w:firstLine="567"/>
            </w:pPr>
            <w:r w:rsidRPr="00333C0E">
              <w:t>2,8</w:t>
            </w:r>
          </w:p>
        </w:tc>
        <w:tc>
          <w:tcPr>
            <w:tcW w:w="514" w:type="dxa"/>
            <w:tcBorders>
              <w:bottom w:val="single" w:sz="4" w:space="0" w:color="auto"/>
            </w:tcBorders>
            <w:shd w:val="clear" w:color="auto" w:fill="auto"/>
          </w:tcPr>
          <w:p w:rsidR="00EC5AED" w:rsidRPr="00333C0E" w:rsidRDefault="00EC5AED" w:rsidP="00043A1A">
            <w:pPr>
              <w:pStyle w:val="Tabellinnehllhger"/>
              <w:ind w:left="-567" w:firstLine="567"/>
            </w:pPr>
            <w:r w:rsidRPr="00333C0E">
              <w:t>3,0</w:t>
            </w:r>
          </w:p>
        </w:tc>
        <w:tc>
          <w:tcPr>
            <w:tcW w:w="515" w:type="dxa"/>
            <w:tcBorders>
              <w:bottom w:val="single" w:sz="4" w:space="0" w:color="auto"/>
            </w:tcBorders>
            <w:shd w:val="clear" w:color="auto" w:fill="auto"/>
          </w:tcPr>
          <w:p w:rsidR="00EC5AED" w:rsidRPr="00333C0E" w:rsidRDefault="00EC5AED" w:rsidP="00043A1A">
            <w:pPr>
              <w:pStyle w:val="Tabellinnehllhger"/>
              <w:ind w:left="-567" w:firstLine="567"/>
            </w:pPr>
            <w:r w:rsidRPr="00333C0E">
              <w:t>5,0</w:t>
            </w:r>
          </w:p>
        </w:tc>
        <w:tc>
          <w:tcPr>
            <w:tcW w:w="515" w:type="dxa"/>
            <w:tcBorders>
              <w:bottom w:val="single" w:sz="4" w:space="0" w:color="auto"/>
            </w:tcBorders>
            <w:shd w:val="clear" w:color="auto" w:fill="auto"/>
          </w:tcPr>
          <w:p w:rsidR="00EC5AED" w:rsidRPr="00333C0E" w:rsidRDefault="00EC5AED" w:rsidP="00043A1A">
            <w:pPr>
              <w:pStyle w:val="Tabellinnehllhger"/>
              <w:ind w:left="-567" w:firstLine="567"/>
            </w:pPr>
            <w:r w:rsidRPr="00333C0E">
              <w:t>3,9</w:t>
            </w:r>
          </w:p>
        </w:tc>
        <w:tc>
          <w:tcPr>
            <w:tcW w:w="515" w:type="dxa"/>
            <w:tcBorders>
              <w:bottom w:val="single" w:sz="4" w:space="0" w:color="auto"/>
            </w:tcBorders>
            <w:shd w:val="clear" w:color="auto" w:fill="auto"/>
          </w:tcPr>
          <w:p w:rsidR="00EC5AED" w:rsidRPr="00333C0E" w:rsidRDefault="00EC5AED" w:rsidP="00043A1A">
            <w:pPr>
              <w:pStyle w:val="Tabellinnehllhger"/>
              <w:ind w:left="-567" w:firstLine="567"/>
            </w:pPr>
            <w:r w:rsidRPr="00333C0E">
              <w:t>2,7</w:t>
            </w:r>
          </w:p>
        </w:tc>
        <w:tc>
          <w:tcPr>
            <w:tcW w:w="515" w:type="dxa"/>
            <w:tcBorders>
              <w:bottom w:val="single" w:sz="4" w:space="0" w:color="auto"/>
            </w:tcBorders>
          </w:tcPr>
          <w:p w:rsidR="00EC5AED" w:rsidRPr="00333C0E" w:rsidRDefault="00EC5AED" w:rsidP="00043A1A">
            <w:pPr>
              <w:pStyle w:val="Tabellinnehllhger"/>
              <w:ind w:left="-567" w:firstLine="567"/>
            </w:pPr>
            <w:r>
              <w:t>2,3</w:t>
            </w:r>
          </w:p>
        </w:tc>
      </w:tr>
      <w:tr w:rsidR="00EC5AED" w:rsidRPr="002363B8" w:rsidTr="00043A1A">
        <w:trPr>
          <w:trHeight w:val="209"/>
        </w:trPr>
        <w:tc>
          <w:tcPr>
            <w:tcW w:w="1488" w:type="dxa"/>
            <w:tcBorders>
              <w:bottom w:val="single" w:sz="4" w:space="0" w:color="auto"/>
            </w:tcBorders>
            <w:shd w:val="clear" w:color="auto" w:fill="auto"/>
          </w:tcPr>
          <w:p w:rsidR="00EC5AED" w:rsidRPr="002363B8" w:rsidRDefault="00EC5AED" w:rsidP="00043A1A">
            <w:pPr>
              <w:pStyle w:val="Tabellinnehllhger"/>
              <w:ind w:left="-567" w:firstLine="567"/>
              <w:jc w:val="left"/>
            </w:pPr>
            <w:r w:rsidRPr="002363B8">
              <w:t xml:space="preserve">Staten </w:t>
            </w:r>
          </w:p>
        </w:tc>
        <w:tc>
          <w:tcPr>
            <w:tcW w:w="514" w:type="dxa"/>
            <w:tcBorders>
              <w:bottom w:val="single" w:sz="4" w:space="0" w:color="auto"/>
            </w:tcBorders>
            <w:shd w:val="clear" w:color="auto" w:fill="auto"/>
          </w:tcPr>
          <w:p w:rsidR="00EC5AED" w:rsidRPr="00333C0E" w:rsidRDefault="00EC5AED" w:rsidP="00043A1A">
            <w:pPr>
              <w:pStyle w:val="Tabellinnehllhger"/>
              <w:ind w:left="-567" w:firstLine="567"/>
            </w:pPr>
            <w:r w:rsidRPr="00333C0E">
              <w:t>4,8</w:t>
            </w:r>
          </w:p>
        </w:tc>
        <w:tc>
          <w:tcPr>
            <w:tcW w:w="515" w:type="dxa"/>
            <w:tcBorders>
              <w:bottom w:val="single" w:sz="4" w:space="0" w:color="auto"/>
            </w:tcBorders>
            <w:shd w:val="clear" w:color="auto" w:fill="auto"/>
          </w:tcPr>
          <w:p w:rsidR="00EC5AED" w:rsidRPr="00333C0E" w:rsidRDefault="00EC5AED" w:rsidP="00043A1A">
            <w:pPr>
              <w:pStyle w:val="Tabellinnehllhger"/>
              <w:ind w:left="-567" w:firstLine="567"/>
            </w:pPr>
            <w:r w:rsidRPr="00333C0E">
              <w:t>4,2</w:t>
            </w:r>
          </w:p>
        </w:tc>
        <w:tc>
          <w:tcPr>
            <w:tcW w:w="515" w:type="dxa"/>
            <w:tcBorders>
              <w:bottom w:val="single" w:sz="4" w:space="0" w:color="auto"/>
            </w:tcBorders>
            <w:shd w:val="clear" w:color="auto" w:fill="auto"/>
          </w:tcPr>
          <w:p w:rsidR="00EC5AED" w:rsidRPr="00333C0E" w:rsidRDefault="00EC5AED" w:rsidP="00043A1A">
            <w:pPr>
              <w:pStyle w:val="Tabellinnehllhger"/>
              <w:ind w:left="-567" w:firstLine="567"/>
            </w:pPr>
            <w:r w:rsidRPr="00333C0E">
              <w:t>4,3</w:t>
            </w:r>
          </w:p>
        </w:tc>
        <w:tc>
          <w:tcPr>
            <w:tcW w:w="514" w:type="dxa"/>
            <w:tcBorders>
              <w:bottom w:val="single" w:sz="4" w:space="0" w:color="auto"/>
            </w:tcBorders>
            <w:shd w:val="clear" w:color="auto" w:fill="auto"/>
          </w:tcPr>
          <w:p w:rsidR="00EC5AED" w:rsidRPr="00333C0E" w:rsidRDefault="00EC5AED" w:rsidP="00043A1A">
            <w:pPr>
              <w:pStyle w:val="Tabellinnehllhger"/>
              <w:ind w:left="-567" w:firstLine="567"/>
            </w:pPr>
            <w:r w:rsidRPr="00333C0E">
              <w:t>4,2</w:t>
            </w:r>
          </w:p>
        </w:tc>
        <w:tc>
          <w:tcPr>
            <w:tcW w:w="515" w:type="dxa"/>
            <w:tcBorders>
              <w:bottom w:val="single" w:sz="4" w:space="0" w:color="auto"/>
            </w:tcBorders>
            <w:shd w:val="clear" w:color="auto" w:fill="auto"/>
          </w:tcPr>
          <w:p w:rsidR="00EC5AED" w:rsidRPr="00333C0E" w:rsidRDefault="00EC5AED" w:rsidP="00043A1A">
            <w:pPr>
              <w:pStyle w:val="Tabellinnehllhger"/>
              <w:ind w:left="-567" w:firstLine="567"/>
            </w:pPr>
            <w:r w:rsidRPr="00333C0E">
              <w:t>2,9</w:t>
            </w:r>
          </w:p>
        </w:tc>
        <w:tc>
          <w:tcPr>
            <w:tcW w:w="515" w:type="dxa"/>
            <w:tcBorders>
              <w:bottom w:val="single" w:sz="4" w:space="0" w:color="auto"/>
            </w:tcBorders>
            <w:shd w:val="clear" w:color="auto" w:fill="auto"/>
          </w:tcPr>
          <w:p w:rsidR="00EC5AED" w:rsidRPr="00333C0E" w:rsidRDefault="00EC5AED" w:rsidP="00043A1A">
            <w:pPr>
              <w:pStyle w:val="Tabellinnehllhger"/>
              <w:ind w:left="-567" w:firstLine="567"/>
            </w:pPr>
            <w:r w:rsidRPr="00333C0E">
              <w:t>3,3</w:t>
            </w:r>
          </w:p>
        </w:tc>
        <w:tc>
          <w:tcPr>
            <w:tcW w:w="515" w:type="dxa"/>
            <w:tcBorders>
              <w:bottom w:val="single" w:sz="4" w:space="0" w:color="auto"/>
            </w:tcBorders>
            <w:shd w:val="clear" w:color="auto" w:fill="auto"/>
          </w:tcPr>
          <w:p w:rsidR="00EC5AED" w:rsidRPr="00333C0E" w:rsidRDefault="00EC5AED" w:rsidP="00043A1A">
            <w:pPr>
              <w:pStyle w:val="Tabellinnehllhger"/>
              <w:ind w:left="-567" w:firstLine="567"/>
            </w:pPr>
            <w:r w:rsidRPr="00333C0E">
              <w:t>3,4</w:t>
            </w:r>
          </w:p>
        </w:tc>
        <w:tc>
          <w:tcPr>
            <w:tcW w:w="514" w:type="dxa"/>
            <w:tcBorders>
              <w:bottom w:val="single" w:sz="4" w:space="0" w:color="auto"/>
            </w:tcBorders>
            <w:shd w:val="clear" w:color="auto" w:fill="auto"/>
          </w:tcPr>
          <w:p w:rsidR="00EC5AED" w:rsidRPr="00333C0E" w:rsidRDefault="00EC5AED" w:rsidP="00043A1A">
            <w:pPr>
              <w:pStyle w:val="Tabellinnehllhger"/>
              <w:ind w:left="-567" w:firstLine="567"/>
            </w:pPr>
            <w:r w:rsidRPr="00333C0E">
              <w:t>3,8</w:t>
            </w:r>
          </w:p>
        </w:tc>
        <w:tc>
          <w:tcPr>
            <w:tcW w:w="515" w:type="dxa"/>
            <w:tcBorders>
              <w:bottom w:val="single" w:sz="4" w:space="0" w:color="auto"/>
            </w:tcBorders>
            <w:shd w:val="clear" w:color="auto" w:fill="auto"/>
          </w:tcPr>
          <w:p w:rsidR="00EC5AED" w:rsidRPr="00333C0E" w:rsidRDefault="00EC5AED" w:rsidP="00043A1A">
            <w:pPr>
              <w:pStyle w:val="Tabellinnehllhger"/>
              <w:ind w:left="-567" w:firstLine="567"/>
            </w:pPr>
            <w:r w:rsidRPr="00333C0E">
              <w:t>3,9</w:t>
            </w:r>
          </w:p>
        </w:tc>
        <w:tc>
          <w:tcPr>
            <w:tcW w:w="515" w:type="dxa"/>
            <w:tcBorders>
              <w:bottom w:val="single" w:sz="4" w:space="0" w:color="auto"/>
            </w:tcBorders>
            <w:shd w:val="clear" w:color="auto" w:fill="auto"/>
          </w:tcPr>
          <w:p w:rsidR="00EC5AED" w:rsidRPr="00333C0E" w:rsidRDefault="00EC5AED" w:rsidP="00043A1A">
            <w:pPr>
              <w:pStyle w:val="Tabellinnehllhger"/>
              <w:ind w:left="-567" w:firstLine="567"/>
            </w:pPr>
            <w:r w:rsidRPr="00333C0E">
              <w:t>3,9</w:t>
            </w:r>
          </w:p>
        </w:tc>
        <w:tc>
          <w:tcPr>
            <w:tcW w:w="515" w:type="dxa"/>
            <w:tcBorders>
              <w:bottom w:val="single" w:sz="4" w:space="0" w:color="auto"/>
            </w:tcBorders>
            <w:shd w:val="clear" w:color="auto" w:fill="auto"/>
          </w:tcPr>
          <w:p w:rsidR="00EC5AED" w:rsidRPr="00333C0E" w:rsidRDefault="00EC5AED" w:rsidP="00043A1A">
            <w:pPr>
              <w:pStyle w:val="Tabellinnehllhger"/>
              <w:ind w:left="-567" w:firstLine="567"/>
            </w:pPr>
            <w:r w:rsidRPr="00333C0E">
              <w:t>3,1</w:t>
            </w:r>
          </w:p>
        </w:tc>
        <w:tc>
          <w:tcPr>
            <w:tcW w:w="515" w:type="dxa"/>
            <w:tcBorders>
              <w:bottom w:val="single" w:sz="4" w:space="0" w:color="auto"/>
            </w:tcBorders>
          </w:tcPr>
          <w:p w:rsidR="00EC5AED" w:rsidRPr="00333C0E" w:rsidRDefault="00EC5AED" w:rsidP="00043A1A">
            <w:pPr>
              <w:pStyle w:val="Tabellinnehllhger"/>
              <w:ind w:left="-567" w:firstLine="567"/>
            </w:pPr>
            <w:r>
              <w:t>1,9</w:t>
            </w:r>
          </w:p>
        </w:tc>
      </w:tr>
      <w:tr w:rsidR="00EC5AED" w:rsidRPr="004E0213" w:rsidTr="00043A1A">
        <w:trPr>
          <w:trHeight w:val="209"/>
        </w:trPr>
        <w:tc>
          <w:tcPr>
            <w:tcW w:w="1488" w:type="dxa"/>
            <w:shd w:val="clear" w:color="auto" w:fill="FDE9D9"/>
          </w:tcPr>
          <w:p w:rsidR="00EC5AED" w:rsidRPr="004E0213" w:rsidRDefault="00EC5AED" w:rsidP="00043A1A">
            <w:pPr>
              <w:pStyle w:val="Tabellinnehllhger"/>
              <w:ind w:left="-567" w:firstLine="567"/>
              <w:jc w:val="left"/>
              <w:rPr>
                <w:b/>
              </w:rPr>
            </w:pPr>
            <w:r w:rsidRPr="004E0213">
              <w:rPr>
                <w:b/>
              </w:rPr>
              <w:t>Samtliga</w:t>
            </w:r>
          </w:p>
        </w:tc>
        <w:tc>
          <w:tcPr>
            <w:tcW w:w="514" w:type="dxa"/>
            <w:shd w:val="clear" w:color="auto" w:fill="FDE9D9"/>
          </w:tcPr>
          <w:p w:rsidR="00EC5AED" w:rsidRPr="004E0213" w:rsidRDefault="00EC5AED" w:rsidP="00043A1A">
            <w:pPr>
              <w:pStyle w:val="Tabellinnehllhger"/>
              <w:ind w:left="-567" w:firstLine="567"/>
              <w:rPr>
                <w:b/>
              </w:rPr>
            </w:pPr>
            <w:r w:rsidRPr="004E0213">
              <w:rPr>
                <w:b/>
              </w:rPr>
              <w:t>3,7</w:t>
            </w:r>
          </w:p>
        </w:tc>
        <w:tc>
          <w:tcPr>
            <w:tcW w:w="515" w:type="dxa"/>
            <w:shd w:val="clear" w:color="auto" w:fill="FDE9D9"/>
          </w:tcPr>
          <w:p w:rsidR="00EC5AED" w:rsidRPr="004E0213" w:rsidRDefault="00EC5AED" w:rsidP="00043A1A">
            <w:pPr>
              <w:pStyle w:val="Tabellinnehllhger"/>
              <w:ind w:left="-567" w:firstLine="567"/>
              <w:rPr>
                <w:b/>
              </w:rPr>
            </w:pPr>
            <w:r w:rsidRPr="004E0213">
              <w:rPr>
                <w:b/>
              </w:rPr>
              <w:t>4,4</w:t>
            </w:r>
          </w:p>
        </w:tc>
        <w:tc>
          <w:tcPr>
            <w:tcW w:w="515" w:type="dxa"/>
            <w:shd w:val="clear" w:color="auto" w:fill="FDE9D9"/>
          </w:tcPr>
          <w:p w:rsidR="00EC5AED" w:rsidRPr="004E0213" w:rsidRDefault="00EC5AED" w:rsidP="00043A1A">
            <w:pPr>
              <w:pStyle w:val="Tabellinnehllhger"/>
              <w:ind w:left="-567" w:firstLine="567"/>
              <w:rPr>
                <w:b/>
              </w:rPr>
            </w:pPr>
            <w:r w:rsidRPr="004E0213">
              <w:rPr>
                <w:b/>
              </w:rPr>
              <w:t>4,1</w:t>
            </w:r>
          </w:p>
        </w:tc>
        <w:tc>
          <w:tcPr>
            <w:tcW w:w="514" w:type="dxa"/>
            <w:shd w:val="clear" w:color="auto" w:fill="FDE9D9"/>
          </w:tcPr>
          <w:p w:rsidR="00EC5AED" w:rsidRPr="004E0213" w:rsidRDefault="00EC5AED" w:rsidP="00043A1A">
            <w:pPr>
              <w:pStyle w:val="Tabellinnehllhger"/>
              <w:ind w:left="-567" w:firstLine="567"/>
              <w:rPr>
                <w:b/>
              </w:rPr>
            </w:pPr>
            <w:r w:rsidRPr="004E0213">
              <w:rPr>
                <w:b/>
              </w:rPr>
              <w:t>3,5</w:t>
            </w:r>
          </w:p>
        </w:tc>
        <w:tc>
          <w:tcPr>
            <w:tcW w:w="515" w:type="dxa"/>
            <w:shd w:val="clear" w:color="auto" w:fill="FDE9D9"/>
          </w:tcPr>
          <w:p w:rsidR="00EC5AED" w:rsidRPr="004E0213" w:rsidRDefault="00EC5AED" w:rsidP="00043A1A">
            <w:pPr>
              <w:pStyle w:val="Tabellinnehllhger"/>
              <w:ind w:left="-567" w:firstLine="567"/>
              <w:rPr>
                <w:b/>
              </w:rPr>
            </w:pPr>
            <w:r w:rsidRPr="004E0213">
              <w:rPr>
                <w:b/>
              </w:rPr>
              <w:t>3,3</w:t>
            </w:r>
          </w:p>
        </w:tc>
        <w:tc>
          <w:tcPr>
            <w:tcW w:w="515" w:type="dxa"/>
            <w:shd w:val="clear" w:color="auto" w:fill="FDE9D9"/>
          </w:tcPr>
          <w:p w:rsidR="00EC5AED" w:rsidRPr="004E0213" w:rsidRDefault="00EC5AED" w:rsidP="00043A1A">
            <w:pPr>
              <w:pStyle w:val="Tabellinnehllhger"/>
              <w:ind w:left="-567" w:firstLine="567"/>
              <w:rPr>
                <w:b/>
              </w:rPr>
            </w:pPr>
            <w:r w:rsidRPr="004E0213">
              <w:rPr>
                <w:b/>
              </w:rPr>
              <w:t>3,1</w:t>
            </w:r>
          </w:p>
        </w:tc>
        <w:tc>
          <w:tcPr>
            <w:tcW w:w="515" w:type="dxa"/>
            <w:shd w:val="clear" w:color="auto" w:fill="FDE9D9"/>
          </w:tcPr>
          <w:p w:rsidR="00EC5AED" w:rsidRPr="004E0213" w:rsidRDefault="00EC5AED" w:rsidP="00043A1A">
            <w:pPr>
              <w:pStyle w:val="Tabellinnehllhger"/>
              <w:ind w:left="-567" w:firstLine="567"/>
              <w:rPr>
                <w:b/>
              </w:rPr>
            </w:pPr>
            <w:r w:rsidRPr="004E0213">
              <w:rPr>
                <w:b/>
              </w:rPr>
              <w:t>3,1</w:t>
            </w:r>
          </w:p>
        </w:tc>
        <w:tc>
          <w:tcPr>
            <w:tcW w:w="514" w:type="dxa"/>
            <w:shd w:val="clear" w:color="auto" w:fill="FDE9D9"/>
          </w:tcPr>
          <w:p w:rsidR="00EC5AED" w:rsidRPr="004E0213" w:rsidRDefault="00EC5AED" w:rsidP="00043A1A">
            <w:pPr>
              <w:pStyle w:val="Tabellinnehllhger"/>
              <w:ind w:left="-567" w:firstLine="567"/>
              <w:rPr>
                <w:b/>
              </w:rPr>
            </w:pPr>
            <w:r w:rsidRPr="004E0213">
              <w:rPr>
                <w:b/>
              </w:rPr>
              <w:t>3,3</w:t>
            </w:r>
          </w:p>
        </w:tc>
        <w:tc>
          <w:tcPr>
            <w:tcW w:w="515" w:type="dxa"/>
            <w:shd w:val="clear" w:color="auto" w:fill="FDE9D9"/>
          </w:tcPr>
          <w:p w:rsidR="00EC5AED" w:rsidRPr="004E0213" w:rsidRDefault="00EC5AED" w:rsidP="00043A1A">
            <w:pPr>
              <w:pStyle w:val="Tabellinnehllhger"/>
              <w:ind w:left="-567" w:firstLine="567"/>
              <w:rPr>
                <w:b/>
              </w:rPr>
            </w:pPr>
            <w:r w:rsidRPr="004E0213">
              <w:rPr>
                <w:b/>
              </w:rPr>
              <w:t>4,3</w:t>
            </w:r>
          </w:p>
        </w:tc>
        <w:tc>
          <w:tcPr>
            <w:tcW w:w="515" w:type="dxa"/>
            <w:shd w:val="clear" w:color="auto" w:fill="FDE9D9"/>
          </w:tcPr>
          <w:p w:rsidR="00EC5AED" w:rsidRPr="004E0213" w:rsidRDefault="00EC5AED" w:rsidP="00043A1A">
            <w:pPr>
              <w:pStyle w:val="Tabellinnehllhger"/>
              <w:ind w:left="-567" w:firstLine="567"/>
              <w:rPr>
                <w:b/>
              </w:rPr>
            </w:pPr>
            <w:r w:rsidRPr="004E0213">
              <w:rPr>
                <w:b/>
              </w:rPr>
              <w:t>3,4</w:t>
            </w:r>
          </w:p>
        </w:tc>
        <w:tc>
          <w:tcPr>
            <w:tcW w:w="515" w:type="dxa"/>
            <w:shd w:val="clear" w:color="auto" w:fill="FDE9D9"/>
          </w:tcPr>
          <w:p w:rsidR="00EC5AED" w:rsidRPr="004E0213" w:rsidRDefault="00EC5AED" w:rsidP="00043A1A">
            <w:pPr>
              <w:pStyle w:val="Tabellinnehllhger"/>
              <w:ind w:left="-567" w:firstLine="567"/>
              <w:rPr>
                <w:b/>
              </w:rPr>
            </w:pPr>
            <w:r>
              <w:rPr>
                <w:b/>
              </w:rPr>
              <w:t>2,6</w:t>
            </w:r>
          </w:p>
        </w:tc>
        <w:tc>
          <w:tcPr>
            <w:tcW w:w="515" w:type="dxa"/>
            <w:shd w:val="clear" w:color="auto" w:fill="FDE9D9"/>
          </w:tcPr>
          <w:p w:rsidR="00EC5AED" w:rsidRDefault="00EC5AED" w:rsidP="00043A1A">
            <w:pPr>
              <w:pStyle w:val="Tabellinnehllhger"/>
              <w:ind w:left="-567" w:firstLine="567"/>
              <w:rPr>
                <w:b/>
              </w:rPr>
            </w:pPr>
            <w:r>
              <w:rPr>
                <w:b/>
              </w:rPr>
              <w:t>2,4</w:t>
            </w:r>
          </w:p>
        </w:tc>
      </w:tr>
    </w:tbl>
    <w:p w:rsidR="00EC5AED" w:rsidRPr="005621CE" w:rsidRDefault="005621CE" w:rsidP="005621CE">
      <w:pPr>
        <w:pStyle w:val="Punktlista"/>
        <w:numPr>
          <w:ilvl w:val="0"/>
          <w:numId w:val="0"/>
        </w:numPr>
        <w:spacing w:before="0"/>
        <w:rPr>
          <w:rFonts w:ascii="Arial" w:hAnsi="Arial" w:cs="Arial"/>
          <w:sz w:val="16"/>
          <w:szCs w:val="16"/>
        </w:rPr>
      </w:pPr>
      <w:r w:rsidRPr="005621CE">
        <w:rPr>
          <w:rFonts w:ascii="Arial" w:hAnsi="Arial" w:cs="Arial"/>
          <w:sz w:val="16"/>
          <w:szCs w:val="16"/>
        </w:rPr>
        <w:t>Källa: SCB, Medlingsinstitutet</w:t>
      </w:r>
    </w:p>
    <w:p w:rsidR="00B90306" w:rsidRDefault="00EC5AED" w:rsidP="00EC5AED">
      <w:pPr>
        <w:spacing w:after="0"/>
      </w:pPr>
      <w:r>
        <w:rPr>
          <w:szCs w:val="23"/>
        </w:rPr>
        <w:t>Den senaste k</w:t>
      </w:r>
      <w:r w:rsidRPr="00DA4E55">
        <w:rPr>
          <w:szCs w:val="23"/>
        </w:rPr>
        <w:t>onjunkturlönestatistiken visar att</w:t>
      </w:r>
      <w:r w:rsidRPr="00DA4E55">
        <w:rPr>
          <w:b/>
          <w:szCs w:val="23"/>
        </w:rPr>
        <w:t xml:space="preserve"> </w:t>
      </w:r>
      <w:r w:rsidRPr="00DA4E55">
        <w:rPr>
          <w:szCs w:val="23"/>
        </w:rPr>
        <w:t>lönerna</w:t>
      </w:r>
      <w:r>
        <w:t xml:space="preserve"> i den totala ekonomin i </w:t>
      </w:r>
      <w:r w:rsidR="00280734">
        <w:t>augusti</w:t>
      </w:r>
      <w:r>
        <w:t xml:space="preserve"> 2012 steg med 2,0 procent jämfört med samma månad året innan. I näringslivet steg lönerna med 2,</w:t>
      </w:r>
      <w:r w:rsidR="00280734">
        <w:t>7</w:t>
      </w:r>
      <w:r>
        <w:t xml:space="preserve"> procent</w:t>
      </w:r>
      <w:r w:rsidR="00280734">
        <w:t xml:space="preserve"> och inom industrin med 3,1 procent</w:t>
      </w:r>
      <w:r>
        <w:t>. Utfallet är preliminärt eftersom statistiken successivt kompletteras med retroaktiva utbetalningar och det slutliga utfallet fastställs först efter 12 månader.</w:t>
      </w:r>
    </w:p>
    <w:p w:rsidR="00EC5AED" w:rsidRPr="004129D4" w:rsidRDefault="00EC5AED" w:rsidP="00EC5AED">
      <w:pPr>
        <w:spacing w:before="240"/>
        <w:rPr>
          <w:szCs w:val="23"/>
        </w:rPr>
      </w:pPr>
      <w:r w:rsidRPr="004129D4">
        <w:rPr>
          <w:szCs w:val="23"/>
        </w:rPr>
        <w:t>Löneökningstakten inom industrin skiftade uppåt i februari 2012 när nya löneavtal började gälla. En majoritet av de industrianställda tycks också ha fått sina löner utbetalda enligt det nya avtalet. Inom andra sektorer där avtalen slöts senare och/eller där förhandlingarna dragit ut på tiden väntas löneökningstakten korrigeras upp efter hand. Detta gäller till exempel för kommunerna. På grund av profilen i avtalen väntas dock löneökningarna för hela ekonomin bli lägre än för industrin 2012.</w:t>
      </w:r>
    </w:p>
    <w:p w:rsidR="00EC5AED" w:rsidRPr="00EC5AED" w:rsidRDefault="00EC5AED" w:rsidP="00EC5AED">
      <w:pPr>
        <w:pStyle w:val="Rubrik3"/>
        <w:rPr>
          <w:b/>
          <w:bCs/>
          <w:sz w:val="25"/>
        </w:rPr>
      </w:pPr>
      <w:r w:rsidRPr="00EC5AED">
        <w:rPr>
          <w:b/>
          <w:bCs/>
          <w:sz w:val="25"/>
        </w:rPr>
        <w:t>Lönestrukturstatistik</w:t>
      </w:r>
    </w:p>
    <w:p w:rsidR="00EC5AED" w:rsidRPr="001220AA" w:rsidRDefault="00EC5AED" w:rsidP="00EC5AED">
      <w:pPr>
        <w:rPr>
          <w:szCs w:val="23"/>
        </w:rPr>
      </w:pPr>
      <w:r w:rsidRPr="001220AA">
        <w:rPr>
          <w:szCs w:val="23"/>
        </w:rPr>
        <w:t xml:space="preserve">Lönestrukturstatistiken syftar i huvudsak till att belysa frågor om lönenivå, löneutveckling, lönespridning och lönestruktur. Denna statistik är lämplig att använda för att analysera löneskillnader mellan kvinnor </w:t>
      </w:r>
      <w:r>
        <w:rPr>
          <w:szCs w:val="23"/>
        </w:rPr>
        <w:t xml:space="preserve">och män </w:t>
      </w:r>
      <w:r w:rsidRPr="001220AA">
        <w:rPr>
          <w:szCs w:val="23"/>
        </w:rPr>
        <w:t>i Sverige.</w:t>
      </w:r>
    </w:p>
    <w:p w:rsidR="005621CE" w:rsidRDefault="00EC5AED" w:rsidP="00F8552B">
      <w:pPr>
        <w:rPr>
          <w:szCs w:val="23"/>
        </w:rPr>
      </w:pPr>
      <w:r w:rsidRPr="001220AA">
        <w:rPr>
          <w:szCs w:val="23"/>
        </w:rPr>
        <w:t>Den genomsnittliga månadslönen för hela arbetsmarknaden 20</w:t>
      </w:r>
      <w:r>
        <w:rPr>
          <w:szCs w:val="23"/>
        </w:rPr>
        <w:t>11</w:t>
      </w:r>
      <w:r w:rsidRPr="001220AA">
        <w:rPr>
          <w:szCs w:val="23"/>
        </w:rPr>
        <w:t xml:space="preserve"> var 2</w:t>
      </w:r>
      <w:r>
        <w:rPr>
          <w:szCs w:val="23"/>
        </w:rPr>
        <w:t>9</w:t>
      </w:r>
      <w:r w:rsidRPr="001220AA">
        <w:rPr>
          <w:szCs w:val="23"/>
        </w:rPr>
        <w:t xml:space="preserve"> </w:t>
      </w:r>
      <w:r>
        <w:rPr>
          <w:szCs w:val="23"/>
        </w:rPr>
        <w:t>0</w:t>
      </w:r>
      <w:r w:rsidRPr="001220AA">
        <w:rPr>
          <w:szCs w:val="23"/>
        </w:rPr>
        <w:t>00 kr</w:t>
      </w:r>
      <w:r>
        <w:rPr>
          <w:szCs w:val="23"/>
        </w:rPr>
        <w:t>onor</w:t>
      </w:r>
      <w:r w:rsidRPr="001220AA">
        <w:rPr>
          <w:szCs w:val="23"/>
        </w:rPr>
        <w:t>. För kvinnor var den 2</w:t>
      </w:r>
      <w:r>
        <w:rPr>
          <w:szCs w:val="23"/>
        </w:rPr>
        <w:t>6</w:t>
      </w:r>
      <w:r w:rsidRPr="001220AA">
        <w:rPr>
          <w:szCs w:val="23"/>
        </w:rPr>
        <w:t xml:space="preserve"> </w:t>
      </w:r>
      <w:r>
        <w:rPr>
          <w:szCs w:val="23"/>
        </w:rPr>
        <w:t>800 kr och för män 31</w:t>
      </w:r>
      <w:r w:rsidRPr="001220AA">
        <w:rPr>
          <w:szCs w:val="23"/>
        </w:rPr>
        <w:t xml:space="preserve"> </w:t>
      </w:r>
      <w:r>
        <w:rPr>
          <w:szCs w:val="23"/>
        </w:rPr>
        <w:t>2</w:t>
      </w:r>
      <w:r w:rsidRPr="001220AA">
        <w:rPr>
          <w:szCs w:val="23"/>
        </w:rPr>
        <w:t>00 kr</w:t>
      </w:r>
      <w:r>
        <w:rPr>
          <w:szCs w:val="23"/>
        </w:rPr>
        <w:t>onor</w:t>
      </w:r>
      <w:r w:rsidRPr="001220AA">
        <w:rPr>
          <w:szCs w:val="23"/>
        </w:rPr>
        <w:t>. Det innebär att kvinnor har 85,</w:t>
      </w:r>
      <w:r>
        <w:rPr>
          <w:szCs w:val="23"/>
        </w:rPr>
        <w:t>9</w:t>
      </w:r>
      <w:r w:rsidRPr="001220AA">
        <w:rPr>
          <w:szCs w:val="23"/>
        </w:rPr>
        <w:t xml:space="preserve"> procent av mäns lön. </w:t>
      </w:r>
    </w:p>
    <w:p w:rsidR="00EC5AED" w:rsidRPr="001220AA" w:rsidRDefault="00EC5AED" w:rsidP="00EC5AED">
      <w:pPr>
        <w:rPr>
          <w:szCs w:val="23"/>
        </w:rPr>
      </w:pPr>
      <w:r>
        <w:rPr>
          <w:szCs w:val="23"/>
        </w:rPr>
        <w:t xml:space="preserve">Om man </w:t>
      </w:r>
      <w:r w:rsidRPr="001220AA">
        <w:rPr>
          <w:szCs w:val="23"/>
        </w:rPr>
        <w:t>med metoden standardvägning tar hänsyn till skillnader i yrke, sektor, utbildning, ålder och arbetstid är kvinnors lön 94,</w:t>
      </w:r>
      <w:r>
        <w:rPr>
          <w:szCs w:val="23"/>
        </w:rPr>
        <w:t>1</w:t>
      </w:r>
      <w:r w:rsidRPr="001220AA">
        <w:rPr>
          <w:szCs w:val="23"/>
        </w:rPr>
        <w:t xml:space="preserve"> procent av mäns lön.</w:t>
      </w:r>
    </w:p>
    <w:p w:rsidR="00EC5AED" w:rsidRDefault="00EC5AED" w:rsidP="00EC5AED">
      <w:pPr>
        <w:rPr>
          <w:szCs w:val="23"/>
        </w:rPr>
      </w:pPr>
      <w:r w:rsidRPr="001220AA">
        <w:rPr>
          <w:szCs w:val="23"/>
        </w:rPr>
        <w:lastRenderedPageBreak/>
        <w:t>Uppgifter för hela arbetsmarknaden för 20</w:t>
      </w:r>
      <w:r>
        <w:rPr>
          <w:szCs w:val="23"/>
        </w:rPr>
        <w:t>11</w:t>
      </w:r>
      <w:r w:rsidRPr="001220AA">
        <w:rPr>
          <w:szCs w:val="23"/>
        </w:rPr>
        <w:t xml:space="preserve"> publicerades i </w:t>
      </w:r>
      <w:r>
        <w:rPr>
          <w:szCs w:val="23"/>
        </w:rPr>
        <w:t>juni</w:t>
      </w:r>
      <w:r w:rsidRPr="001220AA">
        <w:rPr>
          <w:szCs w:val="23"/>
        </w:rPr>
        <w:t xml:space="preserve"> 201</w:t>
      </w:r>
      <w:r>
        <w:rPr>
          <w:szCs w:val="23"/>
        </w:rPr>
        <w:t>2</w:t>
      </w:r>
      <w:r w:rsidRPr="001220AA">
        <w:rPr>
          <w:szCs w:val="23"/>
        </w:rPr>
        <w:t>. Som en fördjupad analys av statistiken presenterade Medlings</w:t>
      </w:r>
      <w:r>
        <w:rPr>
          <w:szCs w:val="23"/>
        </w:rPr>
        <w:softHyphen/>
      </w:r>
      <w:r w:rsidRPr="001220AA">
        <w:rPr>
          <w:szCs w:val="23"/>
        </w:rPr>
        <w:t xml:space="preserve">institutet </w:t>
      </w:r>
      <w:r>
        <w:rPr>
          <w:szCs w:val="23"/>
        </w:rPr>
        <w:t xml:space="preserve">då </w:t>
      </w:r>
      <w:r w:rsidRPr="001220AA">
        <w:rPr>
          <w:szCs w:val="23"/>
        </w:rPr>
        <w:t>även en rapport ”Vad säger den officiella lönestatistiken om löneskillnaden mellan kvinnor och män 20</w:t>
      </w:r>
      <w:r>
        <w:rPr>
          <w:szCs w:val="23"/>
        </w:rPr>
        <w:t>11</w:t>
      </w:r>
      <w:r w:rsidRPr="001220AA">
        <w:rPr>
          <w:szCs w:val="23"/>
        </w:rPr>
        <w:t xml:space="preserve">?” Rapporten finns att ladda ner som </w:t>
      </w:r>
      <w:proofErr w:type="spellStart"/>
      <w:r w:rsidRPr="001220AA">
        <w:rPr>
          <w:szCs w:val="23"/>
        </w:rPr>
        <w:t>pdf-fil</w:t>
      </w:r>
      <w:proofErr w:type="spellEnd"/>
      <w:r w:rsidRPr="001220AA">
        <w:rPr>
          <w:szCs w:val="23"/>
        </w:rPr>
        <w:t xml:space="preserve"> på Medlingsinstitutets hemsida</w:t>
      </w:r>
      <w:r>
        <w:rPr>
          <w:szCs w:val="23"/>
        </w:rPr>
        <w:t xml:space="preserve"> </w:t>
      </w:r>
      <w:r w:rsidRPr="007C5EBD">
        <w:rPr>
          <w:szCs w:val="23"/>
        </w:rPr>
        <w:t>(</w:t>
      </w:r>
      <w:hyperlink r:id="rId11" w:history="1">
        <w:r w:rsidRPr="007C5EBD">
          <w:rPr>
            <w:rStyle w:val="Hyperlnk"/>
            <w:szCs w:val="23"/>
          </w:rPr>
          <w:t>www.mi.se</w:t>
        </w:r>
      </w:hyperlink>
      <w:r w:rsidRPr="007C5EBD">
        <w:rPr>
          <w:szCs w:val="23"/>
        </w:rPr>
        <w:t>).</w:t>
      </w:r>
    </w:p>
    <w:p w:rsidR="00330EE4" w:rsidRPr="00A6594D" w:rsidRDefault="00330EE4" w:rsidP="00330EE4">
      <w:pPr>
        <w:spacing w:after="0"/>
        <w:rPr>
          <w:b/>
          <w:sz w:val="28"/>
          <w:szCs w:val="28"/>
        </w:rPr>
      </w:pPr>
      <w:r w:rsidRPr="00A6594D">
        <w:rPr>
          <w:b/>
          <w:sz w:val="28"/>
          <w:szCs w:val="28"/>
        </w:rPr>
        <w:t>Reallön</w:t>
      </w:r>
    </w:p>
    <w:p w:rsidR="00330EE4" w:rsidRPr="00330EE4" w:rsidRDefault="00330EE4" w:rsidP="00330EE4">
      <w:pPr>
        <w:spacing w:after="0"/>
        <w:rPr>
          <w:b/>
          <w:sz w:val="25"/>
          <w:szCs w:val="25"/>
        </w:rPr>
      </w:pPr>
      <w:r w:rsidRPr="00330EE4">
        <w:rPr>
          <w:b/>
          <w:szCs w:val="23"/>
        </w:rPr>
        <w:t>Nominallön, reallön och KPI (konsumentprisindex) 1960–2011</w:t>
      </w:r>
    </w:p>
    <w:p w:rsidR="00330EE4" w:rsidRDefault="00330EE4" w:rsidP="00330EE4">
      <w:pPr>
        <w:spacing w:after="0"/>
        <w:rPr>
          <w:rStyle w:val="Normal2Char"/>
          <w:szCs w:val="23"/>
        </w:rPr>
      </w:pPr>
      <w:r>
        <w:rPr>
          <w:rStyle w:val="Normal2Char"/>
          <w:szCs w:val="23"/>
        </w:rPr>
        <w:t xml:space="preserve">Sedan 1996 har </w:t>
      </w:r>
      <w:r w:rsidRPr="001220AA">
        <w:rPr>
          <w:rStyle w:val="Normal2Char"/>
          <w:szCs w:val="23"/>
        </w:rPr>
        <w:t>reallöne</w:t>
      </w:r>
      <w:r>
        <w:rPr>
          <w:rStyle w:val="Normal2Char"/>
          <w:szCs w:val="23"/>
        </w:rPr>
        <w:t>rna stigit med i genomsnitt cirka 2,5 procent per år</w:t>
      </w:r>
      <w:r w:rsidRPr="001220AA">
        <w:rPr>
          <w:rStyle w:val="Normal2Char"/>
          <w:szCs w:val="23"/>
        </w:rPr>
        <w:t xml:space="preserve">. </w:t>
      </w:r>
      <w:r>
        <w:rPr>
          <w:rStyle w:val="Normal2Char"/>
          <w:szCs w:val="23"/>
        </w:rPr>
        <w:t>Med 1995 som basår har reallönerna stigit med cirka 47 procent. Med 1996 som basår har reallönen ökat med cirka 40 procent.</w:t>
      </w:r>
    </w:p>
    <w:p w:rsidR="00330EE4" w:rsidRDefault="00330EE4" w:rsidP="00330EE4">
      <w:pPr>
        <w:spacing w:after="0"/>
        <w:rPr>
          <w:rStyle w:val="Normal2Char"/>
          <w:szCs w:val="23"/>
        </w:rPr>
      </w:pPr>
    </w:p>
    <w:p w:rsidR="007160D8" w:rsidRPr="002B0654" w:rsidRDefault="00984CF6" w:rsidP="00544DF7">
      <w:pPr>
        <w:pStyle w:val="Tabellrubrik1"/>
        <w:tabs>
          <w:tab w:val="left" w:pos="672"/>
        </w:tabs>
        <w:spacing w:before="0"/>
        <w:ind w:left="567"/>
      </w:pPr>
      <w:r w:rsidRPr="002B0654">
        <w:rPr>
          <w:b/>
          <w:noProof/>
          <w:szCs w:val="23"/>
          <w:u w:val="single"/>
          <w:lang w:eastAsia="sv-SE"/>
        </w:rPr>
        <w:drawing>
          <wp:anchor distT="0" distB="0" distL="114300" distR="114300" simplePos="0" relativeHeight="251663360" behindDoc="1" locked="0" layoutInCell="1" allowOverlap="1" wp14:anchorId="4867209D" wp14:editId="375B0D51">
            <wp:simplePos x="0" y="0"/>
            <wp:positionH relativeFrom="column">
              <wp:posOffset>300990</wp:posOffset>
            </wp:positionH>
            <wp:positionV relativeFrom="paragraph">
              <wp:posOffset>287655</wp:posOffset>
            </wp:positionV>
            <wp:extent cx="4218305" cy="2752725"/>
            <wp:effectExtent l="0" t="0" r="0" b="9525"/>
            <wp:wrapTopAndBottom/>
            <wp:docPr id="7" name="Bildobjekt 7" descr="svreallö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vreallön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18305" cy="2752725"/>
                    </a:xfrm>
                    <a:prstGeom prst="rect">
                      <a:avLst/>
                    </a:prstGeom>
                    <a:noFill/>
                    <a:ln>
                      <a:noFill/>
                    </a:ln>
                  </pic:spPr>
                </pic:pic>
              </a:graphicData>
            </a:graphic>
            <wp14:sizeRelH relativeFrom="page">
              <wp14:pctWidth>0</wp14:pctWidth>
            </wp14:sizeRelH>
            <wp14:sizeRelV relativeFrom="page">
              <wp14:pctHeight>0</wp14:pctHeight>
            </wp14:sizeRelV>
          </wp:anchor>
        </w:drawing>
      </w:r>
      <w:r w:rsidR="00EC5AED">
        <w:t>Reallönens utveckling</w:t>
      </w:r>
      <w:r w:rsidR="002B0654">
        <w:t xml:space="preserve"> från 1960</w:t>
      </w:r>
    </w:p>
    <w:p w:rsidR="003D2030" w:rsidRDefault="006507C6" w:rsidP="00544DF7">
      <w:pPr>
        <w:ind w:left="851"/>
        <w:rPr>
          <w:rFonts w:ascii="Arial" w:hAnsi="Arial" w:cs="Arial"/>
          <w:sz w:val="16"/>
          <w:szCs w:val="16"/>
        </w:rPr>
      </w:pPr>
      <w:r>
        <w:rPr>
          <w:rFonts w:ascii="Arial" w:hAnsi="Arial" w:cs="Arial"/>
          <w:sz w:val="16"/>
          <w:szCs w:val="16"/>
        </w:rPr>
        <w:t>Källa: SCB, KI, Medlingsinstitutet</w:t>
      </w:r>
    </w:p>
    <w:p w:rsidR="00330EE4" w:rsidRDefault="00984CF6" w:rsidP="006507C6">
      <w:pPr>
        <w:rPr>
          <w:b/>
          <w:sz w:val="32"/>
          <w:szCs w:val="32"/>
        </w:rPr>
      </w:pPr>
      <w:r w:rsidRPr="00984CF6">
        <w:rPr>
          <w:rFonts w:ascii="Arial" w:hAnsi="Arial"/>
          <w:noProof/>
          <w:sz w:val="18"/>
          <w:lang w:eastAsia="sv-SE"/>
        </w:rPr>
        <w:drawing>
          <wp:anchor distT="0" distB="0" distL="114300" distR="114300" simplePos="0" relativeHeight="251664384" behindDoc="1" locked="0" layoutInCell="1" allowOverlap="1" wp14:anchorId="0F3035C7" wp14:editId="478BC186">
            <wp:simplePos x="0" y="0"/>
            <wp:positionH relativeFrom="column">
              <wp:posOffset>544195</wp:posOffset>
            </wp:positionH>
            <wp:positionV relativeFrom="paragraph">
              <wp:posOffset>299085</wp:posOffset>
            </wp:positionV>
            <wp:extent cx="4030980" cy="3009900"/>
            <wp:effectExtent l="0" t="0" r="7620" b="0"/>
            <wp:wrapTopAndBottom/>
            <wp:docPr id="9" name="Bildobjekt 9" descr="Reallöneu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allöneutv"/>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30980" cy="300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30EE4">
        <w:rPr>
          <w:b/>
          <w:sz w:val="32"/>
          <w:szCs w:val="32"/>
        </w:rPr>
        <w:br w:type="page"/>
      </w:r>
    </w:p>
    <w:p w:rsidR="006507C6" w:rsidRPr="00A6594D" w:rsidRDefault="006507C6" w:rsidP="006507C6">
      <w:pPr>
        <w:rPr>
          <w:rFonts w:ascii="Arial" w:hAnsi="Arial" w:cs="Arial"/>
          <w:sz w:val="28"/>
          <w:szCs w:val="28"/>
        </w:rPr>
      </w:pPr>
      <w:r w:rsidRPr="00A6594D">
        <w:rPr>
          <w:b/>
          <w:sz w:val="28"/>
          <w:szCs w:val="28"/>
        </w:rPr>
        <w:lastRenderedPageBreak/>
        <w:t>Sysselsättning</w:t>
      </w:r>
    </w:p>
    <w:p w:rsidR="006507C6" w:rsidRDefault="006507C6" w:rsidP="006507C6">
      <w:pPr>
        <w:pStyle w:val="Normal2"/>
      </w:pPr>
      <w:r>
        <w:rPr>
          <w:b/>
          <w:noProof/>
          <w:lang w:eastAsia="sv-SE"/>
        </w:rPr>
        <mc:AlternateContent>
          <mc:Choice Requires="wps">
            <w:drawing>
              <wp:anchor distT="0" distB="0" distL="114300" distR="114300" simplePos="0" relativeHeight="251667456" behindDoc="0" locked="0" layoutInCell="1" allowOverlap="1" wp14:anchorId="670D1773" wp14:editId="7C49963A">
                <wp:simplePos x="0" y="0"/>
                <wp:positionH relativeFrom="column">
                  <wp:posOffset>1385570</wp:posOffset>
                </wp:positionH>
                <wp:positionV relativeFrom="paragraph">
                  <wp:posOffset>2909570</wp:posOffset>
                </wp:positionV>
                <wp:extent cx="1095375" cy="238125"/>
                <wp:effectExtent l="0" t="0" r="0" b="0"/>
                <wp:wrapNone/>
                <wp:docPr id="11" name="Textruta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594D" w:rsidRPr="002334AC" w:rsidRDefault="00A6594D" w:rsidP="006507C6">
                            <w:pPr>
                              <w:rPr>
                                <w:rFonts w:ascii="Arial" w:hAnsi="Arial" w:cs="Arial"/>
                                <w:sz w:val="16"/>
                                <w:szCs w:val="16"/>
                              </w:rPr>
                            </w:pPr>
                            <w:proofErr w:type="spellStart"/>
                            <w:r w:rsidRPr="002334AC">
                              <w:rPr>
                                <w:rFonts w:ascii="Arial" w:hAnsi="Arial" w:cs="Arial"/>
                                <w:sz w:val="16"/>
                                <w:szCs w:val="16"/>
                              </w:rPr>
                              <w:t>Källa:SCB</w:t>
                            </w:r>
                            <w:proofErr w:type="spellEnd"/>
                            <w:r w:rsidRPr="002334AC">
                              <w:rPr>
                                <w:rFonts w:ascii="Arial" w:hAnsi="Arial" w:cs="Arial"/>
                                <w:sz w:val="16"/>
                                <w:szCs w:val="16"/>
                              </w:rPr>
                              <w:t>, AKU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11" o:spid="_x0000_s1026" type="#_x0000_t202" style="position:absolute;margin-left:109.1pt;margin-top:229.1pt;width:86.2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" stroked="f">
                <v:textbox>
                  <w:txbxContent>
                    <w:p w:rsidR="00A6594D" w:rsidRPr="002334AC" w:rsidRDefault="00A6594D" w:rsidP="006507C6">
                      <w:pPr>
                        <w:rPr>
                          <w:rFonts w:ascii="Arial" w:hAnsi="Arial" w:cs="Arial"/>
                          <w:sz w:val="16"/>
                          <w:szCs w:val="16"/>
                        </w:rPr>
                      </w:pPr>
                      <w:proofErr w:type="spellStart"/>
                      <w:r w:rsidRPr="002334AC">
                        <w:rPr>
                          <w:rFonts w:ascii="Arial" w:hAnsi="Arial" w:cs="Arial"/>
                          <w:sz w:val="16"/>
                          <w:szCs w:val="16"/>
                        </w:rPr>
                        <w:t>Källa:SCB</w:t>
                      </w:r>
                      <w:proofErr w:type="spellEnd"/>
                      <w:r w:rsidRPr="002334AC">
                        <w:rPr>
                          <w:rFonts w:ascii="Arial" w:hAnsi="Arial" w:cs="Arial"/>
                          <w:sz w:val="16"/>
                          <w:szCs w:val="16"/>
                        </w:rPr>
                        <w:t>, AKU</w:t>
                      </w:r>
                    </w:p>
                  </w:txbxContent>
                </v:textbox>
              </v:shape>
            </w:pict>
          </mc:Fallback>
        </mc:AlternateContent>
      </w:r>
      <w:r>
        <w:rPr>
          <w:noProof/>
          <w:lang w:eastAsia="sv-SE"/>
        </w:rPr>
        <w:drawing>
          <wp:anchor distT="0" distB="0" distL="114300" distR="114300" simplePos="0" relativeHeight="251666432" behindDoc="1" locked="0" layoutInCell="1" allowOverlap="0" wp14:anchorId="2E152E26" wp14:editId="7D98440A">
            <wp:simplePos x="0" y="0"/>
            <wp:positionH relativeFrom="column">
              <wp:posOffset>1328420</wp:posOffset>
            </wp:positionH>
            <wp:positionV relativeFrom="paragraph">
              <wp:posOffset>715010</wp:posOffset>
            </wp:positionV>
            <wp:extent cx="4058285" cy="2258695"/>
            <wp:effectExtent l="0" t="0" r="0" b="8255"/>
            <wp:wrapTight wrapText="bothSides">
              <wp:wrapPolygon edited="0">
                <wp:start x="0" y="0"/>
                <wp:lineTo x="0" y="21497"/>
                <wp:lineTo x="21495" y="21497"/>
                <wp:lineTo x="21495" y="0"/>
                <wp:lineTo x="0" y="0"/>
              </wp:wrapPolygon>
            </wp:wrapTight>
            <wp:docPr id="10" name="Bildobjekt 10" descr="Sysselsättning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ysselsättningra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58285" cy="2258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5765">
        <w:t>Sedan Industriavtalets tillkomst 1997 har antalet sysselsatta i svensk ekonomi ökat med 0,8 procent per år, vilket i stort sett är i linje med den genomsnittliga utvecklingen i EU. Återhämtningen på arbets</w:t>
      </w:r>
      <w:r>
        <w:softHyphen/>
      </w:r>
      <w:r w:rsidRPr="00415765">
        <w:t>marknaden efter finanskrisen har dock varit betydligt starkare i Sverige än på de flesta andra håll. Sysselsättnings</w:t>
      </w:r>
      <w:r>
        <w:softHyphen/>
      </w:r>
      <w:r w:rsidRPr="00415765">
        <w:t>graden är i det närmaste tillbaka till nivån före krisen. Det är dock fortfarande långt kvar till nivåerna från slutet på 1980-talet.</w:t>
      </w:r>
      <w:r>
        <w:t xml:space="preserve"> Då låg sysselsättnings</w:t>
      </w:r>
      <w:r>
        <w:softHyphen/>
        <w:t>graden över 80 procent.</w:t>
      </w:r>
    </w:p>
    <w:p w:rsidR="003D2030" w:rsidRDefault="006507C6" w:rsidP="006507C6">
      <w:pPr>
        <w:rPr>
          <w:szCs w:val="23"/>
        </w:rPr>
      </w:pPr>
      <w:r>
        <w:rPr>
          <w:szCs w:val="23"/>
        </w:rPr>
        <w:t xml:space="preserve">Antalet sysselsatta i Sverige är högre än någonsin. Enligt SCB:s arbetskraftsundersökning i </w:t>
      </w:r>
      <w:r w:rsidR="00280734">
        <w:rPr>
          <w:szCs w:val="23"/>
        </w:rPr>
        <w:t>september</w:t>
      </w:r>
      <w:r>
        <w:rPr>
          <w:szCs w:val="23"/>
        </w:rPr>
        <w:t xml:space="preserve"> </w:t>
      </w:r>
      <w:r w:rsidR="00615016">
        <w:rPr>
          <w:szCs w:val="23"/>
        </w:rPr>
        <w:t>var 4 </w:t>
      </w:r>
      <w:r w:rsidR="00615016" w:rsidRPr="00615016">
        <w:t>680</w:t>
      </w:r>
      <w:r w:rsidR="00D77C4D">
        <w:t> </w:t>
      </w:r>
      <w:r w:rsidR="00615016" w:rsidRPr="00615016">
        <w:t>000</w:t>
      </w:r>
      <w:r w:rsidR="00D77C4D">
        <w:t xml:space="preserve"> </w:t>
      </w:r>
      <w:r w:rsidR="00615016" w:rsidRPr="00615016">
        <w:t>personer</w:t>
      </w:r>
      <w:r w:rsidR="00615016">
        <w:rPr>
          <w:szCs w:val="23"/>
        </w:rPr>
        <w:t xml:space="preserve"> i åldern 15-74 </w:t>
      </w:r>
      <w:r>
        <w:rPr>
          <w:szCs w:val="23"/>
        </w:rPr>
        <w:t xml:space="preserve">sysselsatta. Det är det största antalet </w:t>
      </w:r>
      <w:r w:rsidR="00615016">
        <w:rPr>
          <w:szCs w:val="23"/>
        </w:rPr>
        <w:t>i september</w:t>
      </w:r>
      <w:r w:rsidR="00D77C4D">
        <w:rPr>
          <w:szCs w:val="23"/>
        </w:rPr>
        <w:t xml:space="preserve"> </w:t>
      </w:r>
      <w:r w:rsidR="00615016">
        <w:rPr>
          <w:szCs w:val="23"/>
        </w:rPr>
        <w:t>månad</w:t>
      </w:r>
      <w:r>
        <w:rPr>
          <w:szCs w:val="23"/>
        </w:rPr>
        <w:t xml:space="preserve"> </w:t>
      </w:r>
      <w:r w:rsidR="00615016">
        <w:rPr>
          <w:szCs w:val="23"/>
        </w:rPr>
        <w:t>någonsin</w:t>
      </w:r>
      <w:r>
        <w:rPr>
          <w:szCs w:val="23"/>
        </w:rPr>
        <w:t>.</w:t>
      </w:r>
    </w:p>
    <w:p w:rsidR="006507C6" w:rsidRPr="00A6594D" w:rsidRDefault="006507C6" w:rsidP="006507C6">
      <w:pPr>
        <w:spacing w:after="0"/>
        <w:rPr>
          <w:b/>
          <w:sz w:val="28"/>
          <w:szCs w:val="28"/>
        </w:rPr>
      </w:pPr>
      <w:r w:rsidRPr="00A6594D">
        <w:rPr>
          <w:b/>
          <w:sz w:val="28"/>
          <w:szCs w:val="28"/>
        </w:rPr>
        <w:t>Konfliktstatistik</w:t>
      </w:r>
    </w:p>
    <w:tbl>
      <w:tblPr>
        <w:tblpPr w:leftFromText="141" w:rightFromText="141" w:vertAnchor="text" w:horzAnchor="margin" w:tblpXSpec="right" w:tblpY="85"/>
        <w:tblOverlap w:val="never"/>
        <w:tblW w:w="0" w:type="auto"/>
        <w:tblLook w:val="0000" w:firstRow="0" w:lastRow="0" w:firstColumn="0" w:lastColumn="0" w:noHBand="0" w:noVBand="0"/>
      </w:tblPr>
      <w:tblGrid>
        <w:gridCol w:w="851"/>
        <w:gridCol w:w="1275"/>
      </w:tblGrid>
      <w:tr w:rsidR="00AA6986" w:rsidRPr="00A27F11" w:rsidTr="00AA6986">
        <w:tc>
          <w:tcPr>
            <w:tcW w:w="2126" w:type="dxa"/>
            <w:gridSpan w:val="2"/>
            <w:tcBorders>
              <w:top w:val="single" w:sz="4" w:space="0" w:color="auto"/>
              <w:left w:val="single" w:sz="4" w:space="0" w:color="auto"/>
              <w:bottom w:val="single" w:sz="4" w:space="0" w:color="auto"/>
              <w:right w:val="single" w:sz="4" w:space="0" w:color="auto"/>
            </w:tcBorders>
          </w:tcPr>
          <w:p w:rsidR="00AA6986" w:rsidRPr="00452C08" w:rsidRDefault="00AA6986" w:rsidP="00AA6986">
            <w:pPr>
              <w:pStyle w:val="Tabellhuvud"/>
              <w:jc w:val="center"/>
              <w:rPr>
                <w:lang w:val="sv-SE"/>
              </w:rPr>
            </w:pPr>
            <w:r w:rsidRPr="00452C08">
              <w:rPr>
                <w:lang w:val="sv-SE"/>
              </w:rPr>
              <w:t>Förlorade arbetsdagar på grund av konflikt</w:t>
            </w:r>
          </w:p>
        </w:tc>
      </w:tr>
      <w:tr w:rsidR="00AA6986" w:rsidRPr="00A27F11" w:rsidTr="00AA6986">
        <w:tc>
          <w:tcPr>
            <w:tcW w:w="851" w:type="dxa"/>
            <w:tcBorders>
              <w:top w:val="single" w:sz="4" w:space="0" w:color="auto"/>
              <w:left w:val="single" w:sz="4" w:space="0" w:color="auto"/>
              <w:bottom w:val="single" w:sz="4" w:space="0" w:color="auto"/>
              <w:right w:val="single" w:sz="4" w:space="0" w:color="auto"/>
            </w:tcBorders>
          </w:tcPr>
          <w:p w:rsidR="00AA6986" w:rsidRPr="00A27F11" w:rsidRDefault="00AA6986" w:rsidP="00AA6986">
            <w:pPr>
              <w:pStyle w:val="Tabellhuvud"/>
              <w:jc w:val="center"/>
            </w:pPr>
            <w:r w:rsidRPr="00A27F11">
              <w:t>ÅR</w:t>
            </w:r>
          </w:p>
        </w:tc>
        <w:tc>
          <w:tcPr>
            <w:tcW w:w="1275" w:type="dxa"/>
            <w:tcBorders>
              <w:top w:val="single" w:sz="4" w:space="0" w:color="auto"/>
              <w:left w:val="single" w:sz="4" w:space="0" w:color="auto"/>
              <w:bottom w:val="single" w:sz="4" w:space="0" w:color="auto"/>
              <w:right w:val="single" w:sz="4" w:space="0" w:color="auto"/>
            </w:tcBorders>
          </w:tcPr>
          <w:p w:rsidR="00AA6986" w:rsidRPr="00A27F11" w:rsidRDefault="00AA6986" w:rsidP="00AA6986">
            <w:pPr>
              <w:pStyle w:val="Tabellhuvud"/>
            </w:pPr>
            <w:r>
              <w:t>Antal dagar</w:t>
            </w:r>
          </w:p>
        </w:tc>
      </w:tr>
      <w:tr w:rsidR="00AA6986" w:rsidRPr="00796CB4" w:rsidTr="00AA6986">
        <w:tc>
          <w:tcPr>
            <w:tcW w:w="851" w:type="dxa"/>
            <w:tcBorders>
              <w:top w:val="single" w:sz="4" w:space="0" w:color="auto"/>
              <w:left w:val="single" w:sz="4" w:space="0" w:color="auto"/>
              <w:right w:val="single" w:sz="4" w:space="0" w:color="auto"/>
            </w:tcBorders>
            <w:shd w:val="clear" w:color="auto" w:fill="FDE9D9"/>
          </w:tcPr>
          <w:p w:rsidR="00AA6986" w:rsidRPr="00796CB4" w:rsidRDefault="00AA6986" w:rsidP="00AA6986">
            <w:pPr>
              <w:pStyle w:val="Tabellinnehllhger"/>
              <w:tabs>
                <w:tab w:val="left" w:pos="317"/>
              </w:tabs>
              <w:jc w:val="center"/>
            </w:pPr>
            <w:r w:rsidRPr="00796CB4">
              <w:t>1997</w:t>
            </w:r>
          </w:p>
        </w:tc>
        <w:tc>
          <w:tcPr>
            <w:tcW w:w="1275" w:type="dxa"/>
            <w:tcBorders>
              <w:top w:val="single" w:sz="4" w:space="0" w:color="auto"/>
              <w:left w:val="single" w:sz="4" w:space="0" w:color="auto"/>
              <w:right w:val="single" w:sz="4" w:space="0" w:color="auto"/>
            </w:tcBorders>
            <w:shd w:val="clear" w:color="auto" w:fill="FDE9D9"/>
          </w:tcPr>
          <w:p w:rsidR="00AA6986" w:rsidRPr="00796CB4" w:rsidRDefault="00AA6986" w:rsidP="00AA6986">
            <w:pPr>
              <w:pStyle w:val="Tabellinnehllhger"/>
            </w:pPr>
            <w:r w:rsidRPr="00796CB4">
              <w:t>23 579</w:t>
            </w:r>
          </w:p>
        </w:tc>
      </w:tr>
      <w:tr w:rsidR="00AA6986" w:rsidRPr="00796CB4" w:rsidTr="00AA6986">
        <w:tc>
          <w:tcPr>
            <w:tcW w:w="851" w:type="dxa"/>
            <w:tcBorders>
              <w:left w:val="single" w:sz="4" w:space="0" w:color="auto"/>
              <w:right w:val="single" w:sz="4" w:space="0" w:color="auto"/>
            </w:tcBorders>
          </w:tcPr>
          <w:p w:rsidR="00AA6986" w:rsidRPr="00796CB4" w:rsidRDefault="00AA6986" w:rsidP="00AA6986">
            <w:pPr>
              <w:pStyle w:val="Tabellinnehllhger"/>
              <w:tabs>
                <w:tab w:val="left" w:pos="317"/>
              </w:tabs>
              <w:jc w:val="center"/>
            </w:pPr>
            <w:r w:rsidRPr="00796CB4">
              <w:t>1998</w:t>
            </w:r>
          </w:p>
        </w:tc>
        <w:tc>
          <w:tcPr>
            <w:tcW w:w="1275" w:type="dxa"/>
            <w:tcBorders>
              <w:left w:val="single" w:sz="4" w:space="0" w:color="auto"/>
              <w:right w:val="single" w:sz="4" w:space="0" w:color="auto"/>
            </w:tcBorders>
          </w:tcPr>
          <w:p w:rsidR="00AA6986" w:rsidRPr="00796CB4" w:rsidRDefault="00AA6986" w:rsidP="00AA6986">
            <w:pPr>
              <w:pStyle w:val="Tabellinnehllhger"/>
            </w:pPr>
            <w:r w:rsidRPr="00796CB4">
              <w:t>1 677</w:t>
            </w:r>
          </w:p>
        </w:tc>
      </w:tr>
      <w:tr w:rsidR="00AA6986" w:rsidRPr="00796CB4" w:rsidTr="00AA6986">
        <w:tc>
          <w:tcPr>
            <w:tcW w:w="851" w:type="dxa"/>
            <w:tcBorders>
              <w:left w:val="single" w:sz="4" w:space="0" w:color="auto"/>
              <w:right w:val="single" w:sz="4" w:space="0" w:color="auto"/>
            </w:tcBorders>
            <w:shd w:val="clear" w:color="auto" w:fill="FDE9D9"/>
          </w:tcPr>
          <w:p w:rsidR="00AA6986" w:rsidRPr="00796CB4" w:rsidRDefault="00AA6986" w:rsidP="00AA6986">
            <w:pPr>
              <w:pStyle w:val="Tabellinnehllhger"/>
              <w:tabs>
                <w:tab w:val="left" w:pos="317"/>
              </w:tabs>
              <w:jc w:val="center"/>
            </w:pPr>
            <w:r w:rsidRPr="00796CB4">
              <w:t>1999</w:t>
            </w:r>
          </w:p>
        </w:tc>
        <w:tc>
          <w:tcPr>
            <w:tcW w:w="1275" w:type="dxa"/>
            <w:tcBorders>
              <w:left w:val="single" w:sz="4" w:space="0" w:color="auto"/>
              <w:right w:val="single" w:sz="4" w:space="0" w:color="auto"/>
            </w:tcBorders>
            <w:shd w:val="clear" w:color="auto" w:fill="FDE9D9"/>
          </w:tcPr>
          <w:p w:rsidR="00AA6986" w:rsidRPr="00796CB4" w:rsidRDefault="00AA6986" w:rsidP="00AA6986">
            <w:pPr>
              <w:pStyle w:val="Tabellinnehllhger"/>
            </w:pPr>
            <w:r w:rsidRPr="00796CB4">
              <w:t>78</w:t>
            </w:r>
            <w:r>
              <w:t> </w:t>
            </w:r>
            <w:r w:rsidRPr="00796CB4">
              <w:t>735</w:t>
            </w:r>
            <w:r>
              <w:rPr>
                <w:rStyle w:val="Fotnotsreferens"/>
              </w:rPr>
              <w:footnoteReference w:id="2"/>
            </w:r>
          </w:p>
        </w:tc>
      </w:tr>
      <w:tr w:rsidR="00AA6986" w:rsidRPr="00796CB4" w:rsidTr="00AA6986">
        <w:tc>
          <w:tcPr>
            <w:tcW w:w="851" w:type="dxa"/>
            <w:tcBorders>
              <w:left w:val="single" w:sz="4" w:space="0" w:color="auto"/>
              <w:right w:val="single" w:sz="4" w:space="0" w:color="auto"/>
            </w:tcBorders>
          </w:tcPr>
          <w:p w:rsidR="00AA6986" w:rsidRPr="00796CB4" w:rsidRDefault="00AA6986" w:rsidP="00AA6986">
            <w:pPr>
              <w:pStyle w:val="Tabellinnehllhger"/>
              <w:tabs>
                <w:tab w:val="left" w:pos="317"/>
              </w:tabs>
              <w:jc w:val="center"/>
            </w:pPr>
            <w:r w:rsidRPr="00796CB4">
              <w:t>2000</w:t>
            </w:r>
          </w:p>
        </w:tc>
        <w:tc>
          <w:tcPr>
            <w:tcW w:w="1275" w:type="dxa"/>
            <w:tcBorders>
              <w:left w:val="single" w:sz="4" w:space="0" w:color="auto"/>
              <w:right w:val="single" w:sz="4" w:space="0" w:color="auto"/>
            </w:tcBorders>
          </w:tcPr>
          <w:p w:rsidR="00AA6986" w:rsidRPr="00796CB4" w:rsidRDefault="00AA6986" w:rsidP="00AA6986">
            <w:pPr>
              <w:pStyle w:val="Tabellinnehllhger"/>
            </w:pPr>
            <w:r w:rsidRPr="00796CB4">
              <w:t>272</w:t>
            </w:r>
          </w:p>
        </w:tc>
      </w:tr>
      <w:tr w:rsidR="00AA6986" w:rsidRPr="00796CB4" w:rsidTr="00AA6986">
        <w:tc>
          <w:tcPr>
            <w:tcW w:w="851" w:type="dxa"/>
            <w:tcBorders>
              <w:left w:val="single" w:sz="4" w:space="0" w:color="auto"/>
              <w:right w:val="single" w:sz="4" w:space="0" w:color="auto"/>
            </w:tcBorders>
            <w:shd w:val="clear" w:color="auto" w:fill="FDE9D9"/>
          </w:tcPr>
          <w:p w:rsidR="00AA6986" w:rsidRPr="00796CB4" w:rsidRDefault="00AA6986" w:rsidP="00AA6986">
            <w:pPr>
              <w:pStyle w:val="Tabellinnehllhger"/>
              <w:tabs>
                <w:tab w:val="left" w:pos="317"/>
              </w:tabs>
              <w:jc w:val="center"/>
            </w:pPr>
            <w:r w:rsidRPr="00796CB4">
              <w:t>2001</w:t>
            </w:r>
          </w:p>
        </w:tc>
        <w:tc>
          <w:tcPr>
            <w:tcW w:w="1275" w:type="dxa"/>
            <w:tcBorders>
              <w:left w:val="single" w:sz="4" w:space="0" w:color="auto"/>
              <w:right w:val="single" w:sz="4" w:space="0" w:color="auto"/>
            </w:tcBorders>
            <w:shd w:val="clear" w:color="auto" w:fill="FDE9D9"/>
          </w:tcPr>
          <w:p w:rsidR="00AA6986" w:rsidRPr="00796CB4" w:rsidRDefault="00AA6986" w:rsidP="00AA6986">
            <w:pPr>
              <w:pStyle w:val="Tabellinnehllhger"/>
            </w:pPr>
            <w:r w:rsidRPr="00796CB4">
              <w:t>11 098</w:t>
            </w:r>
          </w:p>
        </w:tc>
      </w:tr>
      <w:tr w:rsidR="00AA6986" w:rsidRPr="00796CB4" w:rsidTr="00AA6986">
        <w:tc>
          <w:tcPr>
            <w:tcW w:w="851" w:type="dxa"/>
            <w:tcBorders>
              <w:left w:val="single" w:sz="4" w:space="0" w:color="auto"/>
              <w:right w:val="single" w:sz="4" w:space="0" w:color="auto"/>
            </w:tcBorders>
          </w:tcPr>
          <w:p w:rsidR="00AA6986" w:rsidRPr="00796CB4" w:rsidRDefault="00AA6986" w:rsidP="00AA6986">
            <w:pPr>
              <w:pStyle w:val="Tabellinnehllhger"/>
              <w:tabs>
                <w:tab w:val="left" w:pos="317"/>
              </w:tabs>
              <w:jc w:val="center"/>
            </w:pPr>
            <w:r w:rsidRPr="00796CB4">
              <w:t>2002</w:t>
            </w:r>
          </w:p>
        </w:tc>
        <w:tc>
          <w:tcPr>
            <w:tcW w:w="1275" w:type="dxa"/>
            <w:tcBorders>
              <w:left w:val="single" w:sz="4" w:space="0" w:color="auto"/>
              <w:right w:val="single" w:sz="4" w:space="0" w:color="auto"/>
            </w:tcBorders>
          </w:tcPr>
          <w:p w:rsidR="00AA6986" w:rsidRPr="00796CB4" w:rsidRDefault="00AA6986" w:rsidP="00AA6986">
            <w:pPr>
              <w:pStyle w:val="Tabellinnehllhger"/>
            </w:pPr>
            <w:r w:rsidRPr="00796CB4">
              <w:t>838</w:t>
            </w:r>
          </w:p>
        </w:tc>
      </w:tr>
      <w:tr w:rsidR="00AA6986" w:rsidRPr="00796CB4" w:rsidTr="00AA6986">
        <w:tc>
          <w:tcPr>
            <w:tcW w:w="851" w:type="dxa"/>
            <w:tcBorders>
              <w:left w:val="single" w:sz="4" w:space="0" w:color="auto"/>
              <w:right w:val="single" w:sz="4" w:space="0" w:color="auto"/>
            </w:tcBorders>
            <w:shd w:val="clear" w:color="auto" w:fill="FDE9D9"/>
          </w:tcPr>
          <w:p w:rsidR="00AA6986" w:rsidRPr="00796CB4" w:rsidRDefault="00AA6986" w:rsidP="00AA6986">
            <w:pPr>
              <w:pStyle w:val="Tabellinnehllhger"/>
              <w:tabs>
                <w:tab w:val="left" w:pos="317"/>
              </w:tabs>
              <w:jc w:val="center"/>
            </w:pPr>
            <w:r w:rsidRPr="00796CB4">
              <w:t>2003</w:t>
            </w:r>
          </w:p>
        </w:tc>
        <w:tc>
          <w:tcPr>
            <w:tcW w:w="1275" w:type="dxa"/>
            <w:tcBorders>
              <w:left w:val="single" w:sz="4" w:space="0" w:color="auto"/>
              <w:right w:val="single" w:sz="4" w:space="0" w:color="auto"/>
            </w:tcBorders>
            <w:shd w:val="clear" w:color="auto" w:fill="FDE9D9"/>
          </w:tcPr>
          <w:p w:rsidR="00AA6986" w:rsidRPr="00796CB4" w:rsidRDefault="00AA6986" w:rsidP="00AA6986">
            <w:pPr>
              <w:pStyle w:val="Tabellinnehllhger"/>
            </w:pPr>
            <w:r w:rsidRPr="00796CB4">
              <w:t>627</w:t>
            </w:r>
            <w:r>
              <w:t> </w:t>
            </w:r>
            <w:r w:rsidRPr="00796CB4">
              <w:t>541</w:t>
            </w:r>
            <w:r>
              <w:rPr>
                <w:rStyle w:val="Fotnotsreferens"/>
              </w:rPr>
              <w:footnoteReference w:id="3"/>
            </w:r>
          </w:p>
        </w:tc>
      </w:tr>
      <w:tr w:rsidR="00AA6986" w:rsidRPr="00796CB4" w:rsidTr="00AA6986">
        <w:trPr>
          <w:trHeight w:val="340"/>
        </w:trPr>
        <w:tc>
          <w:tcPr>
            <w:tcW w:w="851" w:type="dxa"/>
            <w:tcBorders>
              <w:left w:val="single" w:sz="4" w:space="0" w:color="auto"/>
              <w:right w:val="single" w:sz="4" w:space="0" w:color="auto"/>
            </w:tcBorders>
          </w:tcPr>
          <w:p w:rsidR="00AA6986" w:rsidRPr="00796CB4" w:rsidRDefault="00AA6986" w:rsidP="00AA6986">
            <w:pPr>
              <w:pStyle w:val="Tabellinnehllhger"/>
              <w:tabs>
                <w:tab w:val="left" w:pos="317"/>
              </w:tabs>
              <w:jc w:val="center"/>
            </w:pPr>
            <w:r w:rsidRPr="00796CB4">
              <w:t>2004</w:t>
            </w:r>
          </w:p>
        </w:tc>
        <w:tc>
          <w:tcPr>
            <w:tcW w:w="1275" w:type="dxa"/>
            <w:tcBorders>
              <w:left w:val="single" w:sz="4" w:space="0" w:color="auto"/>
              <w:right w:val="single" w:sz="4" w:space="0" w:color="auto"/>
            </w:tcBorders>
          </w:tcPr>
          <w:p w:rsidR="00AA6986" w:rsidRPr="00796CB4" w:rsidRDefault="00AA6986" w:rsidP="00AA6986">
            <w:pPr>
              <w:pStyle w:val="Tabellinnehllhger"/>
            </w:pPr>
            <w:r w:rsidRPr="00796CB4">
              <w:t>15 282</w:t>
            </w:r>
          </w:p>
        </w:tc>
      </w:tr>
      <w:tr w:rsidR="00AA6986" w:rsidRPr="00796CB4" w:rsidTr="00AA6986">
        <w:tc>
          <w:tcPr>
            <w:tcW w:w="851" w:type="dxa"/>
            <w:tcBorders>
              <w:left w:val="single" w:sz="4" w:space="0" w:color="auto"/>
              <w:right w:val="single" w:sz="4" w:space="0" w:color="auto"/>
            </w:tcBorders>
            <w:shd w:val="clear" w:color="auto" w:fill="FDE9D9"/>
          </w:tcPr>
          <w:p w:rsidR="00AA6986" w:rsidRPr="00796CB4" w:rsidRDefault="00AA6986" w:rsidP="00AA6986">
            <w:pPr>
              <w:pStyle w:val="Tabellinnehllhger"/>
              <w:tabs>
                <w:tab w:val="left" w:pos="317"/>
              </w:tabs>
              <w:jc w:val="center"/>
            </w:pPr>
            <w:r w:rsidRPr="00796CB4">
              <w:t>2005</w:t>
            </w:r>
          </w:p>
        </w:tc>
        <w:tc>
          <w:tcPr>
            <w:tcW w:w="1275" w:type="dxa"/>
            <w:tcBorders>
              <w:left w:val="single" w:sz="4" w:space="0" w:color="auto"/>
              <w:right w:val="single" w:sz="4" w:space="0" w:color="auto"/>
            </w:tcBorders>
            <w:shd w:val="clear" w:color="auto" w:fill="FDE9D9"/>
          </w:tcPr>
          <w:p w:rsidR="00AA6986" w:rsidRPr="00796CB4" w:rsidRDefault="00AA6986" w:rsidP="00AA6986">
            <w:pPr>
              <w:pStyle w:val="Tabellinnehllhger"/>
            </w:pPr>
            <w:r w:rsidRPr="00796CB4">
              <w:t>568</w:t>
            </w:r>
          </w:p>
        </w:tc>
      </w:tr>
      <w:tr w:rsidR="00AA6986" w:rsidRPr="00796CB4" w:rsidTr="00AA6986">
        <w:tc>
          <w:tcPr>
            <w:tcW w:w="851" w:type="dxa"/>
            <w:tcBorders>
              <w:left w:val="single" w:sz="4" w:space="0" w:color="auto"/>
              <w:right w:val="single" w:sz="4" w:space="0" w:color="auto"/>
            </w:tcBorders>
            <w:shd w:val="clear" w:color="auto" w:fill="auto"/>
          </w:tcPr>
          <w:p w:rsidR="00AA6986" w:rsidRPr="00796CB4" w:rsidRDefault="00AA6986" w:rsidP="00AA6986">
            <w:pPr>
              <w:pStyle w:val="Tabellinnehllhger"/>
              <w:tabs>
                <w:tab w:val="left" w:pos="317"/>
              </w:tabs>
              <w:jc w:val="center"/>
            </w:pPr>
            <w:r w:rsidRPr="00796CB4">
              <w:t>2006</w:t>
            </w:r>
          </w:p>
        </w:tc>
        <w:tc>
          <w:tcPr>
            <w:tcW w:w="1275" w:type="dxa"/>
            <w:tcBorders>
              <w:left w:val="single" w:sz="4" w:space="0" w:color="auto"/>
              <w:right w:val="single" w:sz="4" w:space="0" w:color="auto"/>
            </w:tcBorders>
            <w:shd w:val="clear" w:color="auto" w:fill="auto"/>
          </w:tcPr>
          <w:p w:rsidR="00AA6986" w:rsidRPr="00796CB4" w:rsidRDefault="00AA6986" w:rsidP="00AA6986">
            <w:pPr>
              <w:pStyle w:val="Tabellinnehllhger"/>
            </w:pPr>
            <w:r w:rsidRPr="00796CB4">
              <w:t>1 971</w:t>
            </w:r>
          </w:p>
        </w:tc>
      </w:tr>
      <w:tr w:rsidR="00AA6986" w:rsidRPr="00796CB4" w:rsidTr="00AA6986">
        <w:tc>
          <w:tcPr>
            <w:tcW w:w="851" w:type="dxa"/>
            <w:tcBorders>
              <w:left w:val="single" w:sz="4" w:space="0" w:color="auto"/>
              <w:right w:val="single" w:sz="4" w:space="0" w:color="auto"/>
            </w:tcBorders>
            <w:shd w:val="clear" w:color="auto" w:fill="FDE9D9"/>
          </w:tcPr>
          <w:p w:rsidR="00AA6986" w:rsidRPr="00796CB4" w:rsidRDefault="00AA6986" w:rsidP="00AA6986">
            <w:pPr>
              <w:pStyle w:val="Tabellinnehllhger"/>
              <w:tabs>
                <w:tab w:val="left" w:pos="317"/>
              </w:tabs>
              <w:jc w:val="center"/>
            </w:pPr>
            <w:r w:rsidRPr="00796CB4">
              <w:t>2007</w:t>
            </w:r>
          </w:p>
        </w:tc>
        <w:tc>
          <w:tcPr>
            <w:tcW w:w="1275" w:type="dxa"/>
            <w:tcBorders>
              <w:left w:val="single" w:sz="4" w:space="0" w:color="auto"/>
              <w:right w:val="single" w:sz="4" w:space="0" w:color="auto"/>
            </w:tcBorders>
            <w:shd w:val="clear" w:color="auto" w:fill="FDE9D9"/>
          </w:tcPr>
          <w:p w:rsidR="00AA6986" w:rsidRPr="00796CB4" w:rsidRDefault="00AA6986" w:rsidP="00AA6986">
            <w:pPr>
              <w:pStyle w:val="Tabellinnehllhger"/>
            </w:pPr>
            <w:r w:rsidRPr="00796CB4">
              <w:t>13 666</w:t>
            </w:r>
          </w:p>
        </w:tc>
      </w:tr>
      <w:tr w:rsidR="00AA6986" w:rsidRPr="00796CB4" w:rsidTr="00AA6986">
        <w:trPr>
          <w:trHeight w:val="285"/>
        </w:trPr>
        <w:tc>
          <w:tcPr>
            <w:tcW w:w="851" w:type="dxa"/>
            <w:tcBorders>
              <w:left w:val="single" w:sz="4" w:space="0" w:color="auto"/>
              <w:right w:val="single" w:sz="4" w:space="0" w:color="auto"/>
            </w:tcBorders>
            <w:shd w:val="clear" w:color="auto" w:fill="auto"/>
          </w:tcPr>
          <w:p w:rsidR="00AA6986" w:rsidRPr="00796CB4" w:rsidRDefault="00AA6986" w:rsidP="00AA6986">
            <w:pPr>
              <w:pStyle w:val="Tabellinnehllhger"/>
              <w:tabs>
                <w:tab w:val="left" w:pos="317"/>
              </w:tabs>
              <w:jc w:val="center"/>
            </w:pPr>
            <w:r w:rsidRPr="00796CB4">
              <w:t>2008</w:t>
            </w:r>
          </w:p>
        </w:tc>
        <w:tc>
          <w:tcPr>
            <w:tcW w:w="1275" w:type="dxa"/>
            <w:tcBorders>
              <w:left w:val="single" w:sz="4" w:space="0" w:color="auto"/>
              <w:right w:val="single" w:sz="4" w:space="0" w:color="auto"/>
            </w:tcBorders>
            <w:shd w:val="clear" w:color="auto" w:fill="auto"/>
          </w:tcPr>
          <w:p w:rsidR="00AA6986" w:rsidRPr="00796CB4" w:rsidRDefault="00AA6986" w:rsidP="00AA6986">
            <w:pPr>
              <w:pStyle w:val="Tabellinnehllhger"/>
            </w:pPr>
            <w:r w:rsidRPr="00796CB4">
              <w:t>106</w:t>
            </w:r>
            <w:r>
              <w:t> </w:t>
            </w:r>
            <w:r w:rsidRPr="00796CB4">
              <w:t>801</w:t>
            </w:r>
            <w:r>
              <w:rPr>
                <w:rStyle w:val="Fotnotsreferens"/>
              </w:rPr>
              <w:footnoteReference w:id="4"/>
            </w:r>
          </w:p>
        </w:tc>
      </w:tr>
      <w:tr w:rsidR="00AA6986" w:rsidRPr="00796CB4" w:rsidTr="00AA6986">
        <w:trPr>
          <w:trHeight w:val="252"/>
        </w:trPr>
        <w:tc>
          <w:tcPr>
            <w:tcW w:w="851" w:type="dxa"/>
            <w:tcBorders>
              <w:left w:val="single" w:sz="4" w:space="0" w:color="auto"/>
              <w:right w:val="single" w:sz="4" w:space="0" w:color="auto"/>
            </w:tcBorders>
            <w:shd w:val="clear" w:color="auto" w:fill="FDE9D9"/>
          </w:tcPr>
          <w:p w:rsidR="00AA6986" w:rsidRPr="00796CB4" w:rsidRDefault="00AA6986" w:rsidP="00AA6986">
            <w:pPr>
              <w:pStyle w:val="Tabellinnehllhger"/>
              <w:tabs>
                <w:tab w:val="left" w:pos="317"/>
              </w:tabs>
              <w:jc w:val="center"/>
            </w:pPr>
            <w:r w:rsidRPr="00796CB4">
              <w:t>2009</w:t>
            </w:r>
          </w:p>
        </w:tc>
        <w:tc>
          <w:tcPr>
            <w:tcW w:w="1275" w:type="dxa"/>
            <w:tcBorders>
              <w:left w:val="single" w:sz="4" w:space="0" w:color="auto"/>
              <w:right w:val="single" w:sz="4" w:space="0" w:color="auto"/>
            </w:tcBorders>
            <w:shd w:val="clear" w:color="auto" w:fill="FDE9D9"/>
          </w:tcPr>
          <w:p w:rsidR="00AA6986" w:rsidRPr="00796CB4" w:rsidRDefault="00AA6986" w:rsidP="00AA6986">
            <w:pPr>
              <w:pStyle w:val="Tabellinnehllhger"/>
            </w:pPr>
            <w:r w:rsidRPr="00796CB4">
              <w:t>1 560</w:t>
            </w:r>
          </w:p>
        </w:tc>
      </w:tr>
      <w:tr w:rsidR="00AA6986" w:rsidRPr="00796CB4" w:rsidTr="00AA6986">
        <w:trPr>
          <w:trHeight w:val="285"/>
        </w:trPr>
        <w:tc>
          <w:tcPr>
            <w:tcW w:w="851" w:type="dxa"/>
            <w:tcBorders>
              <w:left w:val="single" w:sz="4" w:space="0" w:color="auto"/>
              <w:right w:val="single" w:sz="4" w:space="0" w:color="auto"/>
            </w:tcBorders>
            <w:shd w:val="clear" w:color="auto" w:fill="auto"/>
          </w:tcPr>
          <w:p w:rsidR="00AA6986" w:rsidRPr="00796CB4" w:rsidRDefault="00AA6986" w:rsidP="00AA6986">
            <w:pPr>
              <w:pStyle w:val="Tabellinnehllhger"/>
              <w:tabs>
                <w:tab w:val="left" w:pos="317"/>
              </w:tabs>
              <w:jc w:val="center"/>
            </w:pPr>
            <w:r>
              <w:t>2010</w:t>
            </w:r>
          </w:p>
        </w:tc>
        <w:tc>
          <w:tcPr>
            <w:tcW w:w="1275" w:type="dxa"/>
            <w:tcBorders>
              <w:left w:val="single" w:sz="4" w:space="0" w:color="auto"/>
              <w:right w:val="single" w:sz="4" w:space="0" w:color="auto"/>
            </w:tcBorders>
            <w:shd w:val="clear" w:color="auto" w:fill="auto"/>
          </w:tcPr>
          <w:p w:rsidR="00AA6986" w:rsidRPr="00796CB4" w:rsidRDefault="00AA6986" w:rsidP="00AA6986">
            <w:pPr>
              <w:pStyle w:val="Tabellinnehllhger"/>
            </w:pPr>
            <w:r>
              <w:t>28 892</w:t>
            </w:r>
            <w:r>
              <w:rPr>
                <w:rStyle w:val="Fotnotsreferens"/>
              </w:rPr>
              <w:footnoteReference w:id="5"/>
            </w:r>
          </w:p>
        </w:tc>
      </w:tr>
      <w:tr w:rsidR="00AA6986" w:rsidRPr="00796CB4" w:rsidTr="00AA6986">
        <w:trPr>
          <w:trHeight w:val="285"/>
        </w:trPr>
        <w:tc>
          <w:tcPr>
            <w:tcW w:w="851" w:type="dxa"/>
            <w:tcBorders>
              <w:left w:val="single" w:sz="4" w:space="0" w:color="auto"/>
              <w:right w:val="single" w:sz="4" w:space="0" w:color="auto"/>
            </w:tcBorders>
            <w:shd w:val="clear" w:color="auto" w:fill="FDE9D9"/>
          </w:tcPr>
          <w:p w:rsidR="00AA6986" w:rsidRDefault="00AA6986" w:rsidP="00AA6986">
            <w:pPr>
              <w:pStyle w:val="Tabellinnehllhger"/>
              <w:tabs>
                <w:tab w:val="left" w:pos="317"/>
              </w:tabs>
              <w:jc w:val="center"/>
            </w:pPr>
            <w:r>
              <w:t>2011</w:t>
            </w:r>
          </w:p>
        </w:tc>
        <w:tc>
          <w:tcPr>
            <w:tcW w:w="1275" w:type="dxa"/>
            <w:tcBorders>
              <w:left w:val="single" w:sz="4" w:space="0" w:color="auto"/>
              <w:right w:val="single" w:sz="4" w:space="0" w:color="auto"/>
            </w:tcBorders>
            <w:shd w:val="clear" w:color="auto" w:fill="FDE9D9"/>
          </w:tcPr>
          <w:p w:rsidR="00AA6986" w:rsidRDefault="00AA6986" w:rsidP="00AA6986">
            <w:pPr>
              <w:pStyle w:val="Tabellinnehllhger"/>
            </w:pPr>
            <w:r>
              <w:t>254</w:t>
            </w:r>
          </w:p>
        </w:tc>
      </w:tr>
      <w:tr w:rsidR="00AA6986" w:rsidRPr="00796CB4" w:rsidTr="00AA6986">
        <w:trPr>
          <w:trHeight w:val="285"/>
        </w:trPr>
        <w:tc>
          <w:tcPr>
            <w:tcW w:w="851" w:type="dxa"/>
            <w:tcBorders>
              <w:left w:val="single" w:sz="4" w:space="0" w:color="auto"/>
              <w:bottom w:val="single" w:sz="4" w:space="0" w:color="auto"/>
              <w:right w:val="single" w:sz="4" w:space="0" w:color="auto"/>
            </w:tcBorders>
            <w:shd w:val="clear" w:color="auto" w:fill="auto"/>
          </w:tcPr>
          <w:p w:rsidR="00AA6986" w:rsidRDefault="00AA6986" w:rsidP="00AA6986">
            <w:pPr>
              <w:pStyle w:val="Tabellinnehllhger"/>
              <w:tabs>
                <w:tab w:val="left" w:pos="317"/>
              </w:tabs>
              <w:jc w:val="center"/>
            </w:pPr>
            <w:r>
              <w:t>2012</w:t>
            </w:r>
          </w:p>
        </w:tc>
        <w:tc>
          <w:tcPr>
            <w:tcW w:w="1275" w:type="dxa"/>
            <w:tcBorders>
              <w:left w:val="single" w:sz="4" w:space="0" w:color="auto"/>
              <w:bottom w:val="single" w:sz="4" w:space="0" w:color="auto"/>
              <w:right w:val="single" w:sz="4" w:space="0" w:color="auto"/>
            </w:tcBorders>
            <w:shd w:val="clear" w:color="auto" w:fill="auto"/>
          </w:tcPr>
          <w:p w:rsidR="00AA6986" w:rsidRDefault="00AA6986" w:rsidP="00AA6986">
            <w:pPr>
              <w:pStyle w:val="Tabellinnehllhger"/>
            </w:pPr>
            <w:r>
              <w:t>42 000</w:t>
            </w:r>
            <w:r>
              <w:rPr>
                <w:rStyle w:val="Fotnotsreferens"/>
              </w:rPr>
              <w:footnoteReference w:id="6"/>
            </w:r>
          </w:p>
        </w:tc>
      </w:tr>
    </w:tbl>
    <w:p w:rsidR="006507C6" w:rsidRDefault="006507C6" w:rsidP="005621CE">
      <w:pPr>
        <w:pStyle w:val="Normal2"/>
      </w:pPr>
      <w:r w:rsidRPr="001220AA">
        <w:t>Medlingsinstitutet för statistik över arbetsmarknadskonflikter. Statistiken redovisar omfattningen i form av förlorade arbetsdagar. Vad som avses är de arbetsdagar som förlorats på grund av arbetsnedläggelse (strejk och lockout). Sättet att redovisa följer en internationell standard som möjliggör jämförelser mellan länder.</w:t>
      </w:r>
    </w:p>
    <w:p w:rsidR="00AA6986" w:rsidRDefault="006507C6" w:rsidP="006507C6">
      <w:pPr>
        <w:spacing w:after="0"/>
        <w:rPr>
          <w:szCs w:val="23"/>
        </w:rPr>
      </w:pPr>
      <w:r>
        <w:rPr>
          <w:szCs w:val="23"/>
        </w:rPr>
        <w:t xml:space="preserve">Fram till och med </w:t>
      </w:r>
      <w:r w:rsidR="00781A12">
        <w:rPr>
          <w:szCs w:val="23"/>
        </w:rPr>
        <w:t>mitten av november 20</w:t>
      </w:r>
      <w:r w:rsidR="008A180B">
        <w:rPr>
          <w:szCs w:val="23"/>
        </w:rPr>
        <w:t>12 har 26</w:t>
      </w:r>
      <w:r>
        <w:rPr>
          <w:szCs w:val="23"/>
        </w:rPr>
        <w:t xml:space="preserve"> varsel om stridsåtgärder lämnats till Medlingsinstitutet vid förhandlingar om förbundsavtal. Av dessa varsel har </w:t>
      </w:r>
      <w:r w:rsidR="00014025">
        <w:rPr>
          <w:szCs w:val="23"/>
        </w:rPr>
        <w:t>åtta</w:t>
      </w:r>
      <w:r>
        <w:rPr>
          <w:szCs w:val="23"/>
        </w:rPr>
        <w:t xml:space="preserve"> verkställts.</w:t>
      </w:r>
    </w:p>
    <w:p w:rsidR="006507C6" w:rsidRDefault="006507C6" w:rsidP="006507C6">
      <w:pPr>
        <w:rPr>
          <w:szCs w:val="23"/>
        </w:rPr>
      </w:pPr>
      <w:r>
        <w:rPr>
          <w:szCs w:val="23"/>
        </w:rPr>
        <w:br w:type="page"/>
      </w:r>
    </w:p>
    <w:p w:rsidR="002A4EEE" w:rsidRPr="00A6594D" w:rsidRDefault="002A4EEE" w:rsidP="002A4EEE">
      <w:pPr>
        <w:rPr>
          <w:b/>
          <w:sz w:val="28"/>
          <w:szCs w:val="28"/>
        </w:rPr>
      </w:pPr>
      <w:r w:rsidRPr="00A6594D">
        <w:rPr>
          <w:b/>
          <w:sz w:val="28"/>
          <w:szCs w:val="28"/>
        </w:rPr>
        <w:lastRenderedPageBreak/>
        <w:t xml:space="preserve">Regionala </w:t>
      </w:r>
      <w:r w:rsidR="00205CBE" w:rsidRPr="00A6594D">
        <w:rPr>
          <w:b/>
          <w:sz w:val="28"/>
          <w:szCs w:val="28"/>
        </w:rPr>
        <w:t>avtalstvister</w:t>
      </w:r>
    </w:p>
    <w:p w:rsidR="002A4EEE" w:rsidRDefault="002A4EEE" w:rsidP="00205CBE">
      <w:r>
        <w:t xml:space="preserve">Sedan 2008 har det skett en dramatisk minskning av </w:t>
      </w:r>
      <w:r w:rsidR="00205CBE">
        <w:t xml:space="preserve">de lokala </w:t>
      </w:r>
      <w:r>
        <w:t xml:space="preserve">tvister </w:t>
      </w:r>
      <w:r w:rsidR="00205CBE">
        <w:t>som hanteras av de regionala medlarna. A</w:t>
      </w:r>
      <w:r>
        <w:t xml:space="preserve">ntalet (12) för 2011 var det lägsta under 2000-talet. Varsel om stridsåtgärder är regel i </w:t>
      </w:r>
      <w:bookmarkStart w:id="0" w:name="_GoBack"/>
      <w:bookmarkEnd w:id="0"/>
      <w:r>
        <w:t>dessa tvister, men verkställs sällan då tvisterna vanligtvis får sin lösning under varsel</w:t>
      </w:r>
      <w:r>
        <w:softHyphen/>
        <w:t xml:space="preserve">tiden. Under 2011 genomfördes endast en kortvarig strejk. Sett till det totala antalet </w:t>
      </w:r>
      <w:proofErr w:type="spellStart"/>
      <w:r>
        <w:t>kollektivavtals</w:t>
      </w:r>
      <w:r w:rsidR="00205CBE">
        <w:softHyphen/>
      </w:r>
      <w:r>
        <w:t>anslutningar</w:t>
      </w:r>
      <w:proofErr w:type="spellEnd"/>
      <w:r>
        <w:t xml:space="preserve">, som årligen sker på den svenska arbetsmarknaden, tillkommer en försvinnande liten del av dessa efter varsel och medling. </w:t>
      </w:r>
    </w:p>
    <w:p w:rsidR="00062AA9" w:rsidRPr="00EF6E3B" w:rsidRDefault="00062AA9" w:rsidP="00062AA9">
      <w:pPr>
        <w:rPr>
          <w:rFonts w:ascii="Arial" w:hAnsi="Arial" w:cs="Arial"/>
          <w:sz w:val="20"/>
        </w:rPr>
      </w:pPr>
      <w:r w:rsidRPr="00EF6E3B">
        <w:rPr>
          <w:rFonts w:ascii="Arial" w:hAnsi="Arial" w:cs="Arial"/>
          <w:sz w:val="20"/>
        </w:rPr>
        <w:t>De regionala medlarna under 2012 är:</w:t>
      </w: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3402"/>
        <w:gridCol w:w="3402"/>
      </w:tblGrid>
      <w:tr w:rsidR="00062AA9" w:rsidTr="00062AA9">
        <w:tc>
          <w:tcPr>
            <w:tcW w:w="3402" w:type="dxa"/>
            <w:tcBorders>
              <w:right w:val="single" w:sz="4" w:space="0" w:color="auto"/>
            </w:tcBorders>
            <w:shd w:val="clear" w:color="auto" w:fill="FDE9D9" w:themeFill="accent6" w:themeFillTint="33"/>
          </w:tcPr>
          <w:p w:rsidR="00062AA9" w:rsidRPr="00EF6E3B" w:rsidRDefault="00062AA9" w:rsidP="00062AA9">
            <w:pPr>
              <w:pStyle w:val="Tabellinnehllvnster"/>
              <w:rPr>
                <w:rFonts w:cs="Arial"/>
                <w:sz w:val="16"/>
                <w:szCs w:val="16"/>
                <w:lang w:val="nb-NO"/>
              </w:rPr>
            </w:pPr>
            <w:r w:rsidRPr="00EF6E3B">
              <w:rPr>
                <w:rFonts w:cs="Arial"/>
                <w:sz w:val="16"/>
                <w:szCs w:val="16"/>
                <w:lang w:val="nb-NO"/>
              </w:rPr>
              <w:t>Rådmannen Karl Glimnell</w:t>
            </w:r>
          </w:p>
        </w:tc>
        <w:tc>
          <w:tcPr>
            <w:tcW w:w="3402" w:type="dxa"/>
            <w:tcBorders>
              <w:left w:val="single" w:sz="4" w:space="0" w:color="auto"/>
            </w:tcBorders>
            <w:shd w:val="clear" w:color="auto" w:fill="FDE9D9" w:themeFill="accent6" w:themeFillTint="33"/>
          </w:tcPr>
          <w:p w:rsidR="00062AA9" w:rsidRPr="00EF6E3B" w:rsidRDefault="00062AA9" w:rsidP="00062AA9">
            <w:pPr>
              <w:pStyle w:val="Default"/>
              <w:rPr>
                <w:rFonts w:ascii="Arial" w:hAnsi="Arial" w:cs="Arial"/>
                <w:sz w:val="16"/>
                <w:szCs w:val="16"/>
              </w:rPr>
            </w:pPr>
            <w:r w:rsidRPr="00EF6E3B">
              <w:rPr>
                <w:rFonts w:ascii="Arial" w:hAnsi="Arial" w:cs="Arial"/>
                <w:sz w:val="16"/>
                <w:szCs w:val="16"/>
              </w:rPr>
              <w:t xml:space="preserve">Hallands, Västra Götalands, Värmlands och Örebro län </w:t>
            </w:r>
          </w:p>
        </w:tc>
      </w:tr>
      <w:tr w:rsidR="00062AA9" w:rsidTr="00062AA9">
        <w:tc>
          <w:tcPr>
            <w:tcW w:w="3402" w:type="dxa"/>
            <w:tcBorders>
              <w:right w:val="single" w:sz="4" w:space="0" w:color="auto"/>
            </w:tcBorders>
          </w:tcPr>
          <w:p w:rsidR="00062AA9" w:rsidRPr="00EF6E3B" w:rsidRDefault="00062AA9" w:rsidP="00062AA9">
            <w:pPr>
              <w:pStyle w:val="Tabellinnehllvnster"/>
              <w:rPr>
                <w:rFonts w:cs="Arial"/>
                <w:sz w:val="16"/>
                <w:szCs w:val="16"/>
                <w:lang w:val="sv-SE"/>
              </w:rPr>
            </w:pPr>
            <w:r w:rsidRPr="00EF6E3B">
              <w:rPr>
                <w:rFonts w:cs="Arial"/>
                <w:sz w:val="16"/>
                <w:szCs w:val="16"/>
                <w:lang w:val="sv-SE"/>
              </w:rPr>
              <w:t>F chefsjuristen Eva-Helena Kling</w:t>
            </w:r>
          </w:p>
          <w:p w:rsidR="00062AA9" w:rsidRPr="00EF6E3B" w:rsidRDefault="00062AA9" w:rsidP="00062AA9">
            <w:pPr>
              <w:pStyle w:val="Tabellinnehllvnster"/>
              <w:rPr>
                <w:rFonts w:cs="Arial"/>
                <w:sz w:val="16"/>
                <w:szCs w:val="16"/>
                <w:lang w:val="sv-SE"/>
              </w:rPr>
            </w:pPr>
          </w:p>
        </w:tc>
        <w:tc>
          <w:tcPr>
            <w:tcW w:w="3402" w:type="dxa"/>
            <w:tcBorders>
              <w:left w:val="single" w:sz="4" w:space="0" w:color="auto"/>
            </w:tcBorders>
          </w:tcPr>
          <w:p w:rsidR="00062AA9" w:rsidRPr="00EF6E3B" w:rsidRDefault="00062AA9" w:rsidP="00062AA9">
            <w:pPr>
              <w:pStyle w:val="Tabellinnehllvnster"/>
              <w:rPr>
                <w:rFonts w:cs="Arial"/>
                <w:sz w:val="16"/>
                <w:szCs w:val="16"/>
                <w:lang w:val="sv-SE"/>
              </w:rPr>
            </w:pPr>
            <w:r w:rsidRPr="002137D1">
              <w:rPr>
                <w:rFonts w:cs="Arial"/>
                <w:sz w:val="16"/>
                <w:szCs w:val="16"/>
                <w:lang w:val="sv-SE"/>
              </w:rPr>
              <w:t>Stockholms, Gotlands, Uppsala, Södermanlands och Västmanlands län</w:t>
            </w:r>
          </w:p>
        </w:tc>
      </w:tr>
      <w:tr w:rsidR="00062AA9" w:rsidTr="00062AA9">
        <w:tc>
          <w:tcPr>
            <w:tcW w:w="3402" w:type="dxa"/>
            <w:tcBorders>
              <w:right w:val="single" w:sz="4" w:space="0" w:color="auto"/>
            </w:tcBorders>
            <w:shd w:val="clear" w:color="auto" w:fill="FDE9D9" w:themeFill="accent6" w:themeFillTint="33"/>
          </w:tcPr>
          <w:p w:rsidR="00062AA9" w:rsidRPr="00EF6E3B" w:rsidRDefault="00062AA9" w:rsidP="00062AA9">
            <w:pPr>
              <w:pStyle w:val="Tabellinnehllvnster"/>
              <w:rPr>
                <w:rFonts w:cs="Arial"/>
                <w:sz w:val="16"/>
                <w:szCs w:val="16"/>
                <w:lang w:val="nb-NO"/>
              </w:rPr>
            </w:pPr>
            <w:r w:rsidRPr="00EF6E3B">
              <w:rPr>
                <w:rFonts w:cs="Arial"/>
                <w:sz w:val="16"/>
                <w:szCs w:val="16"/>
                <w:lang w:val="nb-NO"/>
              </w:rPr>
              <w:t>Lagmannen Ralf Larsson</w:t>
            </w:r>
          </w:p>
        </w:tc>
        <w:tc>
          <w:tcPr>
            <w:tcW w:w="3402" w:type="dxa"/>
            <w:tcBorders>
              <w:left w:val="single" w:sz="4" w:space="0" w:color="auto"/>
            </w:tcBorders>
            <w:shd w:val="clear" w:color="auto" w:fill="FDE9D9" w:themeFill="accent6" w:themeFillTint="33"/>
          </w:tcPr>
          <w:p w:rsidR="00062AA9" w:rsidRPr="00EF6E3B" w:rsidRDefault="00062AA9" w:rsidP="00062AA9">
            <w:pPr>
              <w:pStyle w:val="Tabellinnehllvnster"/>
              <w:rPr>
                <w:rFonts w:cs="Arial"/>
                <w:sz w:val="16"/>
                <w:szCs w:val="16"/>
                <w:lang w:val="sv-SE"/>
              </w:rPr>
            </w:pPr>
            <w:r w:rsidRPr="002137D1">
              <w:rPr>
                <w:rFonts w:cs="Arial"/>
                <w:sz w:val="16"/>
                <w:szCs w:val="16"/>
                <w:lang w:val="sv-SE"/>
              </w:rPr>
              <w:t>Skåne, Blekinge, Jönköpings, Kronobergs, Kalmar och Östergötlands län</w:t>
            </w:r>
          </w:p>
        </w:tc>
      </w:tr>
      <w:tr w:rsidR="00062AA9" w:rsidTr="00062AA9">
        <w:tc>
          <w:tcPr>
            <w:tcW w:w="3402" w:type="dxa"/>
            <w:tcBorders>
              <w:right w:val="single" w:sz="4" w:space="0" w:color="auto"/>
            </w:tcBorders>
          </w:tcPr>
          <w:p w:rsidR="00062AA9" w:rsidRPr="00EF6E3B" w:rsidRDefault="00062AA9" w:rsidP="00062AA9">
            <w:pPr>
              <w:pStyle w:val="Tabellinnehllvnster"/>
              <w:rPr>
                <w:rFonts w:cs="Arial"/>
                <w:sz w:val="16"/>
                <w:szCs w:val="16"/>
                <w:lang w:val="sv-SE"/>
              </w:rPr>
            </w:pPr>
            <w:r w:rsidRPr="00EF6E3B">
              <w:rPr>
                <w:rFonts w:cs="Arial"/>
                <w:sz w:val="16"/>
                <w:szCs w:val="16"/>
                <w:lang w:val="sv-SE"/>
              </w:rPr>
              <w:t>Hyresrådet Carl Rydeman</w:t>
            </w:r>
          </w:p>
        </w:tc>
        <w:tc>
          <w:tcPr>
            <w:tcW w:w="3402" w:type="dxa"/>
            <w:tcBorders>
              <w:left w:val="single" w:sz="4" w:space="0" w:color="auto"/>
            </w:tcBorders>
          </w:tcPr>
          <w:p w:rsidR="00062AA9" w:rsidRPr="00EF6E3B" w:rsidRDefault="00062AA9" w:rsidP="00062AA9">
            <w:pPr>
              <w:pStyle w:val="Default"/>
              <w:rPr>
                <w:rFonts w:ascii="Arial" w:hAnsi="Arial" w:cs="Arial"/>
                <w:sz w:val="16"/>
                <w:szCs w:val="16"/>
              </w:rPr>
            </w:pPr>
            <w:r w:rsidRPr="00EF6E3B">
              <w:rPr>
                <w:rFonts w:ascii="Arial" w:hAnsi="Arial" w:cs="Arial"/>
                <w:sz w:val="16"/>
                <w:szCs w:val="16"/>
              </w:rPr>
              <w:t xml:space="preserve">Gävleborgs, Dalarnas, Västernorrlands, Jämtlands, Västerbottens och Norrbottens län </w:t>
            </w:r>
          </w:p>
        </w:tc>
      </w:tr>
    </w:tbl>
    <w:p w:rsidR="002A4EEE" w:rsidRDefault="002A4EEE" w:rsidP="002A4EEE">
      <w:r>
        <w:t>Huvuddelen av de registrerade lokala ärendena kan tillskrivas Sveriges Arbetares Centralorganisation (SAC) Syndikalisterna. SAC svarade under 2011 för drygt 70 procent av samtliga varsel. Inte någon av dessa tvister handlade om tecknande av kollektivavtal om löner och allmänna anställningsvillkor. En stor del av varslen gällde indrivningsblockader, men varsel och stridsåtgärder utnyttjades även som påtryckningsmedel i andra tvister. SAC:s ärenden föranleder normalt inga medlingsinsatser.</w:t>
      </w:r>
    </w:p>
    <w:tbl>
      <w:tblPr>
        <w:tblpPr w:leftFromText="141" w:rightFromText="141" w:vertAnchor="text" w:tblpX="108" w:tblpY="1"/>
        <w:tblOverlap w:val="never"/>
        <w:tblW w:w="0" w:type="auto"/>
        <w:tblLayout w:type="fixed"/>
        <w:tblLook w:val="01E0" w:firstRow="1" w:lastRow="1" w:firstColumn="1" w:lastColumn="1" w:noHBand="0" w:noVBand="0"/>
      </w:tblPr>
      <w:tblGrid>
        <w:gridCol w:w="1101"/>
        <w:gridCol w:w="1361"/>
        <w:gridCol w:w="7"/>
        <w:gridCol w:w="620"/>
        <w:gridCol w:w="6"/>
        <w:gridCol w:w="627"/>
        <w:gridCol w:w="627"/>
        <w:gridCol w:w="627"/>
        <w:gridCol w:w="627"/>
        <w:gridCol w:w="627"/>
        <w:gridCol w:w="627"/>
        <w:gridCol w:w="628"/>
      </w:tblGrid>
      <w:tr w:rsidR="002A4EEE" w:rsidTr="00552AB2">
        <w:tc>
          <w:tcPr>
            <w:tcW w:w="2469" w:type="dxa"/>
            <w:gridSpan w:val="3"/>
            <w:tcBorders>
              <w:top w:val="single" w:sz="4" w:space="0" w:color="auto"/>
              <w:left w:val="single" w:sz="4" w:space="0" w:color="auto"/>
              <w:bottom w:val="single" w:sz="4" w:space="0" w:color="auto"/>
              <w:right w:val="single" w:sz="4" w:space="0" w:color="auto"/>
            </w:tcBorders>
          </w:tcPr>
          <w:p w:rsidR="002A4EEE" w:rsidRPr="002A4EEE" w:rsidRDefault="002A4EEE" w:rsidP="002A4EEE">
            <w:pPr>
              <w:pStyle w:val="Tabellinnehllvnster"/>
              <w:rPr>
                <w:rFonts w:cs="Arial"/>
                <w:sz w:val="18"/>
                <w:szCs w:val="18"/>
              </w:rPr>
            </w:pPr>
          </w:p>
        </w:tc>
        <w:tc>
          <w:tcPr>
            <w:tcW w:w="626" w:type="dxa"/>
            <w:gridSpan w:val="2"/>
            <w:tcBorders>
              <w:top w:val="single" w:sz="4" w:space="0" w:color="auto"/>
              <w:left w:val="single" w:sz="4" w:space="0" w:color="auto"/>
              <w:bottom w:val="single" w:sz="4" w:space="0" w:color="auto"/>
              <w:right w:val="single" w:sz="4" w:space="0" w:color="auto"/>
            </w:tcBorders>
          </w:tcPr>
          <w:p w:rsidR="002A4EEE" w:rsidRPr="002A4EEE" w:rsidRDefault="002A4EEE" w:rsidP="002A4EEE">
            <w:pPr>
              <w:pStyle w:val="Tabellinnehllvnster"/>
              <w:rPr>
                <w:rFonts w:cs="Arial"/>
                <w:b/>
                <w:sz w:val="18"/>
                <w:szCs w:val="18"/>
              </w:rPr>
            </w:pPr>
            <w:r w:rsidRPr="002A4EEE">
              <w:rPr>
                <w:rFonts w:cs="Arial"/>
                <w:b/>
                <w:sz w:val="18"/>
                <w:szCs w:val="18"/>
              </w:rPr>
              <w:t>2005</w:t>
            </w:r>
          </w:p>
        </w:tc>
        <w:tc>
          <w:tcPr>
            <w:tcW w:w="626" w:type="dxa"/>
            <w:tcBorders>
              <w:top w:val="single" w:sz="4" w:space="0" w:color="auto"/>
              <w:left w:val="single" w:sz="4" w:space="0" w:color="auto"/>
              <w:bottom w:val="single" w:sz="4" w:space="0" w:color="auto"/>
              <w:right w:val="single" w:sz="4" w:space="0" w:color="auto"/>
            </w:tcBorders>
          </w:tcPr>
          <w:p w:rsidR="002A4EEE" w:rsidRPr="002A4EEE" w:rsidRDefault="002A4EEE" w:rsidP="002A4EEE">
            <w:pPr>
              <w:pStyle w:val="Tabellinnehllvnster"/>
              <w:rPr>
                <w:rFonts w:cs="Arial"/>
                <w:b/>
                <w:sz w:val="18"/>
                <w:szCs w:val="18"/>
              </w:rPr>
            </w:pPr>
            <w:r w:rsidRPr="002A4EEE">
              <w:rPr>
                <w:rFonts w:cs="Arial"/>
                <w:b/>
                <w:sz w:val="18"/>
                <w:szCs w:val="18"/>
              </w:rPr>
              <w:t>2006</w:t>
            </w:r>
          </w:p>
        </w:tc>
        <w:tc>
          <w:tcPr>
            <w:tcW w:w="627" w:type="dxa"/>
            <w:tcBorders>
              <w:top w:val="single" w:sz="4" w:space="0" w:color="auto"/>
              <w:left w:val="single" w:sz="4" w:space="0" w:color="auto"/>
              <w:bottom w:val="single" w:sz="4" w:space="0" w:color="auto"/>
              <w:right w:val="single" w:sz="4" w:space="0" w:color="auto"/>
            </w:tcBorders>
          </w:tcPr>
          <w:p w:rsidR="002A4EEE" w:rsidRPr="002A4EEE" w:rsidRDefault="002A4EEE" w:rsidP="002A4EEE">
            <w:pPr>
              <w:pStyle w:val="Tabellinnehllvnster"/>
              <w:rPr>
                <w:rFonts w:cs="Arial"/>
                <w:b/>
                <w:sz w:val="18"/>
                <w:szCs w:val="18"/>
              </w:rPr>
            </w:pPr>
            <w:r w:rsidRPr="002A4EEE">
              <w:rPr>
                <w:rFonts w:cs="Arial"/>
                <w:b/>
                <w:sz w:val="18"/>
                <w:szCs w:val="18"/>
              </w:rPr>
              <w:t>2007</w:t>
            </w:r>
          </w:p>
        </w:tc>
        <w:tc>
          <w:tcPr>
            <w:tcW w:w="627" w:type="dxa"/>
            <w:tcBorders>
              <w:top w:val="single" w:sz="4" w:space="0" w:color="auto"/>
              <w:left w:val="single" w:sz="4" w:space="0" w:color="auto"/>
              <w:bottom w:val="single" w:sz="4" w:space="0" w:color="auto"/>
              <w:right w:val="single" w:sz="4" w:space="0" w:color="auto"/>
            </w:tcBorders>
          </w:tcPr>
          <w:p w:rsidR="002A4EEE" w:rsidRPr="002A4EEE" w:rsidRDefault="002A4EEE" w:rsidP="002A4EEE">
            <w:pPr>
              <w:pStyle w:val="Tabellinnehllvnster"/>
              <w:rPr>
                <w:rFonts w:cs="Arial"/>
                <w:b/>
                <w:sz w:val="18"/>
                <w:szCs w:val="18"/>
              </w:rPr>
            </w:pPr>
            <w:r w:rsidRPr="002A4EEE">
              <w:rPr>
                <w:rFonts w:cs="Arial"/>
                <w:b/>
                <w:sz w:val="18"/>
                <w:szCs w:val="18"/>
              </w:rPr>
              <w:t>2008</w:t>
            </w:r>
          </w:p>
        </w:tc>
        <w:tc>
          <w:tcPr>
            <w:tcW w:w="627" w:type="dxa"/>
            <w:tcBorders>
              <w:top w:val="single" w:sz="4" w:space="0" w:color="auto"/>
              <w:left w:val="single" w:sz="4" w:space="0" w:color="auto"/>
              <w:bottom w:val="single" w:sz="4" w:space="0" w:color="auto"/>
              <w:right w:val="single" w:sz="4" w:space="0" w:color="auto"/>
            </w:tcBorders>
          </w:tcPr>
          <w:p w:rsidR="002A4EEE" w:rsidRPr="002A4EEE" w:rsidRDefault="002A4EEE" w:rsidP="002A4EEE">
            <w:pPr>
              <w:pStyle w:val="Tabellinnehllvnster"/>
              <w:rPr>
                <w:rFonts w:cs="Arial"/>
                <w:b/>
                <w:sz w:val="18"/>
                <w:szCs w:val="18"/>
              </w:rPr>
            </w:pPr>
            <w:r w:rsidRPr="002A4EEE">
              <w:rPr>
                <w:rFonts w:cs="Arial"/>
                <w:b/>
                <w:sz w:val="18"/>
                <w:szCs w:val="18"/>
              </w:rPr>
              <w:t>2009</w:t>
            </w:r>
          </w:p>
        </w:tc>
        <w:tc>
          <w:tcPr>
            <w:tcW w:w="627" w:type="dxa"/>
            <w:tcBorders>
              <w:top w:val="single" w:sz="4" w:space="0" w:color="auto"/>
              <w:left w:val="single" w:sz="4" w:space="0" w:color="auto"/>
              <w:bottom w:val="single" w:sz="4" w:space="0" w:color="auto"/>
              <w:right w:val="single" w:sz="4" w:space="0" w:color="auto"/>
            </w:tcBorders>
          </w:tcPr>
          <w:p w:rsidR="002A4EEE" w:rsidRPr="002A4EEE" w:rsidRDefault="002A4EEE" w:rsidP="002A4EEE">
            <w:pPr>
              <w:pStyle w:val="Tabellinnehllvnster"/>
              <w:rPr>
                <w:rFonts w:cs="Arial"/>
                <w:b/>
                <w:sz w:val="18"/>
                <w:szCs w:val="18"/>
              </w:rPr>
            </w:pPr>
            <w:r w:rsidRPr="002A4EEE">
              <w:rPr>
                <w:rFonts w:cs="Arial"/>
                <w:b/>
                <w:sz w:val="18"/>
                <w:szCs w:val="18"/>
              </w:rPr>
              <w:t>2010</w:t>
            </w:r>
          </w:p>
        </w:tc>
        <w:tc>
          <w:tcPr>
            <w:tcW w:w="627" w:type="dxa"/>
            <w:tcBorders>
              <w:top w:val="single" w:sz="4" w:space="0" w:color="auto"/>
              <w:left w:val="single" w:sz="4" w:space="0" w:color="auto"/>
              <w:bottom w:val="single" w:sz="4" w:space="0" w:color="auto"/>
              <w:right w:val="single" w:sz="4" w:space="0" w:color="auto"/>
            </w:tcBorders>
          </w:tcPr>
          <w:p w:rsidR="002A4EEE" w:rsidRPr="002A4EEE" w:rsidRDefault="002A4EEE" w:rsidP="002A4EEE">
            <w:pPr>
              <w:pStyle w:val="Tabellinnehllvnster"/>
              <w:rPr>
                <w:rFonts w:cs="Arial"/>
                <w:b/>
                <w:sz w:val="18"/>
                <w:szCs w:val="18"/>
              </w:rPr>
            </w:pPr>
            <w:r w:rsidRPr="002A4EEE">
              <w:rPr>
                <w:rFonts w:cs="Arial"/>
                <w:b/>
                <w:sz w:val="18"/>
                <w:szCs w:val="18"/>
              </w:rPr>
              <w:t>2011</w:t>
            </w:r>
          </w:p>
        </w:tc>
        <w:tc>
          <w:tcPr>
            <w:tcW w:w="628" w:type="dxa"/>
            <w:tcBorders>
              <w:top w:val="single" w:sz="4" w:space="0" w:color="auto"/>
              <w:left w:val="single" w:sz="4" w:space="0" w:color="auto"/>
              <w:bottom w:val="single" w:sz="4" w:space="0" w:color="auto"/>
              <w:right w:val="single" w:sz="4" w:space="0" w:color="auto"/>
            </w:tcBorders>
          </w:tcPr>
          <w:p w:rsidR="002A4EEE" w:rsidRPr="002A4EEE" w:rsidRDefault="002A4EEE" w:rsidP="002A4EEE">
            <w:pPr>
              <w:pStyle w:val="Tabellinnehllvnster"/>
              <w:rPr>
                <w:rFonts w:cs="Arial"/>
                <w:b/>
                <w:sz w:val="18"/>
                <w:szCs w:val="18"/>
              </w:rPr>
            </w:pPr>
            <w:r w:rsidRPr="002A4EEE">
              <w:rPr>
                <w:rFonts w:cs="Arial"/>
                <w:b/>
                <w:sz w:val="18"/>
                <w:szCs w:val="18"/>
              </w:rPr>
              <w:t>2012</w:t>
            </w:r>
          </w:p>
        </w:tc>
      </w:tr>
      <w:tr w:rsidR="002A4EEE" w:rsidTr="00552AB2">
        <w:tc>
          <w:tcPr>
            <w:tcW w:w="2469" w:type="dxa"/>
            <w:gridSpan w:val="3"/>
            <w:tcBorders>
              <w:top w:val="single" w:sz="4" w:space="0" w:color="auto"/>
              <w:left w:val="single" w:sz="4" w:space="0" w:color="auto"/>
              <w:right w:val="single" w:sz="4" w:space="0" w:color="auto"/>
            </w:tcBorders>
            <w:shd w:val="clear" w:color="auto" w:fill="FDE9D9" w:themeFill="accent6" w:themeFillTint="33"/>
          </w:tcPr>
          <w:p w:rsidR="002A4EEE" w:rsidRPr="002A4EEE" w:rsidRDefault="00D87D3F" w:rsidP="002A4EEE">
            <w:pPr>
              <w:pStyle w:val="Tabellinnehllvnster"/>
              <w:tabs>
                <w:tab w:val="left" w:pos="2268"/>
              </w:tabs>
              <w:ind w:right="1168"/>
              <w:rPr>
                <w:rFonts w:cs="Arial"/>
                <w:b/>
                <w:sz w:val="18"/>
                <w:szCs w:val="18"/>
              </w:rPr>
            </w:pPr>
            <w:r>
              <w:rPr>
                <w:rFonts w:cs="Arial"/>
                <w:b/>
                <w:sz w:val="18"/>
                <w:szCs w:val="18"/>
              </w:rPr>
              <w:t>T</w:t>
            </w:r>
            <w:r w:rsidR="002A4EEE" w:rsidRPr="002A4EEE">
              <w:rPr>
                <w:rFonts w:cs="Arial"/>
                <w:b/>
                <w:sz w:val="18"/>
                <w:szCs w:val="18"/>
              </w:rPr>
              <w:t>vister</w:t>
            </w:r>
          </w:p>
        </w:tc>
        <w:tc>
          <w:tcPr>
            <w:tcW w:w="626" w:type="dxa"/>
            <w:gridSpan w:val="2"/>
            <w:tcBorders>
              <w:top w:val="single" w:sz="4" w:space="0" w:color="auto"/>
              <w:left w:val="single" w:sz="4" w:space="0" w:color="auto"/>
              <w:right w:val="single" w:sz="4" w:space="0" w:color="auto"/>
            </w:tcBorders>
            <w:shd w:val="clear" w:color="auto" w:fill="FDE9D9" w:themeFill="accent6" w:themeFillTint="33"/>
          </w:tcPr>
          <w:p w:rsidR="002A4EEE" w:rsidRPr="002A4EEE" w:rsidRDefault="002A4EEE" w:rsidP="002A4EEE">
            <w:pPr>
              <w:pStyle w:val="Tabellinnehllvnster"/>
              <w:rPr>
                <w:rFonts w:cs="Arial"/>
                <w:b/>
                <w:sz w:val="18"/>
                <w:szCs w:val="18"/>
              </w:rPr>
            </w:pPr>
            <w:r w:rsidRPr="002A4EEE">
              <w:rPr>
                <w:rFonts w:cs="Arial"/>
                <w:b/>
                <w:sz w:val="18"/>
                <w:szCs w:val="18"/>
              </w:rPr>
              <w:t>55</w:t>
            </w:r>
          </w:p>
        </w:tc>
        <w:tc>
          <w:tcPr>
            <w:tcW w:w="626" w:type="dxa"/>
            <w:tcBorders>
              <w:top w:val="single" w:sz="4" w:space="0" w:color="auto"/>
              <w:left w:val="single" w:sz="4" w:space="0" w:color="auto"/>
              <w:right w:val="single" w:sz="4" w:space="0" w:color="auto"/>
            </w:tcBorders>
            <w:shd w:val="clear" w:color="auto" w:fill="FDE9D9" w:themeFill="accent6" w:themeFillTint="33"/>
          </w:tcPr>
          <w:p w:rsidR="002A4EEE" w:rsidRPr="002A4EEE" w:rsidRDefault="002A4EEE" w:rsidP="002A4EEE">
            <w:pPr>
              <w:pStyle w:val="Tabellinnehllvnster"/>
              <w:rPr>
                <w:rFonts w:cs="Arial"/>
                <w:b/>
                <w:sz w:val="18"/>
                <w:szCs w:val="18"/>
              </w:rPr>
            </w:pPr>
            <w:r w:rsidRPr="002A4EEE">
              <w:rPr>
                <w:rFonts w:cs="Arial"/>
                <w:b/>
                <w:sz w:val="18"/>
                <w:szCs w:val="18"/>
              </w:rPr>
              <w:t>102</w:t>
            </w:r>
          </w:p>
        </w:tc>
        <w:tc>
          <w:tcPr>
            <w:tcW w:w="627" w:type="dxa"/>
            <w:tcBorders>
              <w:top w:val="single" w:sz="4" w:space="0" w:color="auto"/>
              <w:left w:val="single" w:sz="4" w:space="0" w:color="auto"/>
              <w:right w:val="single" w:sz="4" w:space="0" w:color="auto"/>
            </w:tcBorders>
            <w:shd w:val="clear" w:color="auto" w:fill="FDE9D9" w:themeFill="accent6" w:themeFillTint="33"/>
          </w:tcPr>
          <w:p w:rsidR="002A4EEE" w:rsidRPr="002A4EEE" w:rsidRDefault="002A4EEE" w:rsidP="002A4EEE">
            <w:pPr>
              <w:pStyle w:val="Tabellinnehllvnster"/>
              <w:rPr>
                <w:rFonts w:cs="Arial"/>
                <w:b/>
                <w:sz w:val="18"/>
                <w:szCs w:val="18"/>
              </w:rPr>
            </w:pPr>
            <w:r w:rsidRPr="002A4EEE">
              <w:rPr>
                <w:rFonts w:cs="Arial"/>
                <w:b/>
                <w:sz w:val="18"/>
                <w:szCs w:val="18"/>
              </w:rPr>
              <w:t>44</w:t>
            </w:r>
          </w:p>
        </w:tc>
        <w:tc>
          <w:tcPr>
            <w:tcW w:w="627" w:type="dxa"/>
            <w:tcBorders>
              <w:top w:val="single" w:sz="4" w:space="0" w:color="auto"/>
              <w:left w:val="single" w:sz="4" w:space="0" w:color="auto"/>
              <w:right w:val="single" w:sz="4" w:space="0" w:color="auto"/>
            </w:tcBorders>
            <w:shd w:val="clear" w:color="auto" w:fill="FDE9D9" w:themeFill="accent6" w:themeFillTint="33"/>
          </w:tcPr>
          <w:p w:rsidR="002A4EEE" w:rsidRPr="002A4EEE" w:rsidRDefault="002A4EEE" w:rsidP="002A4EEE">
            <w:pPr>
              <w:pStyle w:val="Tabellinnehllvnster"/>
              <w:rPr>
                <w:rFonts w:cs="Arial"/>
                <w:b/>
                <w:sz w:val="18"/>
                <w:szCs w:val="18"/>
              </w:rPr>
            </w:pPr>
            <w:r w:rsidRPr="002A4EEE">
              <w:rPr>
                <w:rFonts w:cs="Arial"/>
                <w:b/>
                <w:sz w:val="18"/>
                <w:szCs w:val="18"/>
              </w:rPr>
              <w:t>13</w:t>
            </w:r>
          </w:p>
        </w:tc>
        <w:tc>
          <w:tcPr>
            <w:tcW w:w="627" w:type="dxa"/>
            <w:tcBorders>
              <w:top w:val="single" w:sz="4" w:space="0" w:color="auto"/>
              <w:left w:val="single" w:sz="4" w:space="0" w:color="auto"/>
              <w:right w:val="single" w:sz="4" w:space="0" w:color="auto"/>
            </w:tcBorders>
            <w:shd w:val="clear" w:color="auto" w:fill="FDE9D9" w:themeFill="accent6" w:themeFillTint="33"/>
          </w:tcPr>
          <w:p w:rsidR="002A4EEE" w:rsidRPr="002A4EEE" w:rsidRDefault="002A4EEE" w:rsidP="002A4EEE">
            <w:pPr>
              <w:pStyle w:val="Tabellinnehllvnster"/>
              <w:rPr>
                <w:rFonts w:cs="Arial"/>
                <w:b/>
                <w:sz w:val="18"/>
                <w:szCs w:val="18"/>
              </w:rPr>
            </w:pPr>
            <w:r w:rsidRPr="002A4EEE">
              <w:rPr>
                <w:rFonts w:cs="Arial"/>
                <w:b/>
                <w:sz w:val="18"/>
                <w:szCs w:val="18"/>
              </w:rPr>
              <w:t>18</w:t>
            </w:r>
          </w:p>
        </w:tc>
        <w:tc>
          <w:tcPr>
            <w:tcW w:w="627" w:type="dxa"/>
            <w:tcBorders>
              <w:top w:val="single" w:sz="4" w:space="0" w:color="auto"/>
              <w:left w:val="single" w:sz="4" w:space="0" w:color="auto"/>
              <w:right w:val="single" w:sz="4" w:space="0" w:color="auto"/>
            </w:tcBorders>
            <w:shd w:val="clear" w:color="auto" w:fill="FDE9D9" w:themeFill="accent6" w:themeFillTint="33"/>
          </w:tcPr>
          <w:p w:rsidR="002A4EEE" w:rsidRPr="002A4EEE" w:rsidRDefault="002A4EEE" w:rsidP="002A4EEE">
            <w:pPr>
              <w:pStyle w:val="Tabellinnehllvnster"/>
              <w:rPr>
                <w:rFonts w:cs="Arial"/>
                <w:b/>
                <w:sz w:val="18"/>
                <w:szCs w:val="18"/>
              </w:rPr>
            </w:pPr>
            <w:r w:rsidRPr="002A4EEE">
              <w:rPr>
                <w:rFonts w:cs="Arial"/>
                <w:b/>
                <w:sz w:val="18"/>
                <w:szCs w:val="18"/>
              </w:rPr>
              <w:t>17</w:t>
            </w:r>
          </w:p>
        </w:tc>
        <w:tc>
          <w:tcPr>
            <w:tcW w:w="627" w:type="dxa"/>
            <w:tcBorders>
              <w:top w:val="single" w:sz="4" w:space="0" w:color="auto"/>
              <w:left w:val="single" w:sz="4" w:space="0" w:color="auto"/>
              <w:right w:val="single" w:sz="4" w:space="0" w:color="auto"/>
            </w:tcBorders>
            <w:shd w:val="clear" w:color="auto" w:fill="FDE9D9" w:themeFill="accent6" w:themeFillTint="33"/>
          </w:tcPr>
          <w:p w:rsidR="002A4EEE" w:rsidRPr="002A4EEE" w:rsidRDefault="002A4EEE" w:rsidP="002A4EEE">
            <w:pPr>
              <w:pStyle w:val="Tabellinnehllvnster"/>
              <w:rPr>
                <w:rFonts w:cs="Arial"/>
                <w:b/>
                <w:sz w:val="18"/>
                <w:szCs w:val="18"/>
              </w:rPr>
            </w:pPr>
            <w:r w:rsidRPr="002A4EEE">
              <w:rPr>
                <w:rFonts w:cs="Arial"/>
                <w:b/>
                <w:sz w:val="18"/>
                <w:szCs w:val="18"/>
              </w:rPr>
              <w:t>12</w:t>
            </w:r>
          </w:p>
        </w:tc>
        <w:tc>
          <w:tcPr>
            <w:tcW w:w="628" w:type="dxa"/>
            <w:tcBorders>
              <w:top w:val="single" w:sz="4" w:space="0" w:color="auto"/>
              <w:left w:val="single" w:sz="4" w:space="0" w:color="auto"/>
              <w:right w:val="single" w:sz="4" w:space="0" w:color="auto"/>
            </w:tcBorders>
            <w:shd w:val="clear" w:color="auto" w:fill="FDE9D9" w:themeFill="accent6" w:themeFillTint="33"/>
          </w:tcPr>
          <w:p w:rsidR="002A4EEE" w:rsidRPr="002A4EEE" w:rsidRDefault="002A4EEE" w:rsidP="002A4EEE">
            <w:pPr>
              <w:pStyle w:val="Tabellinnehllvnster"/>
              <w:rPr>
                <w:rFonts w:cs="Arial"/>
                <w:b/>
                <w:sz w:val="18"/>
                <w:szCs w:val="18"/>
              </w:rPr>
            </w:pPr>
            <w:r w:rsidRPr="002A4EEE">
              <w:rPr>
                <w:rFonts w:cs="Arial"/>
                <w:b/>
                <w:sz w:val="18"/>
                <w:szCs w:val="18"/>
              </w:rPr>
              <w:t>15</w:t>
            </w:r>
          </w:p>
        </w:tc>
      </w:tr>
      <w:tr w:rsidR="002A4EEE" w:rsidTr="00552AB2">
        <w:tc>
          <w:tcPr>
            <w:tcW w:w="2469" w:type="dxa"/>
            <w:gridSpan w:val="3"/>
            <w:tcBorders>
              <w:left w:val="single" w:sz="4" w:space="0" w:color="auto"/>
              <w:right w:val="single" w:sz="4" w:space="0" w:color="auto"/>
            </w:tcBorders>
          </w:tcPr>
          <w:p w:rsidR="002A4EEE" w:rsidRPr="002A4EEE" w:rsidRDefault="00552AB2" w:rsidP="002A4EEE">
            <w:pPr>
              <w:pStyle w:val="Tabellinnehllvnster"/>
              <w:rPr>
                <w:rFonts w:cs="Arial"/>
                <w:sz w:val="18"/>
                <w:szCs w:val="18"/>
              </w:rPr>
            </w:pPr>
            <w:r>
              <w:rPr>
                <w:rFonts w:cs="Arial"/>
                <w:sz w:val="18"/>
                <w:szCs w:val="18"/>
              </w:rPr>
              <w:t>v</w:t>
            </w:r>
            <w:r w:rsidR="002A4EEE" w:rsidRPr="002A4EEE">
              <w:rPr>
                <w:rFonts w:cs="Arial"/>
                <w:sz w:val="18"/>
                <w:szCs w:val="18"/>
              </w:rPr>
              <w:t>arav fartyg</w:t>
            </w:r>
          </w:p>
        </w:tc>
        <w:tc>
          <w:tcPr>
            <w:tcW w:w="626" w:type="dxa"/>
            <w:gridSpan w:val="2"/>
            <w:tcBorders>
              <w:left w:val="single" w:sz="4" w:space="0" w:color="auto"/>
              <w:right w:val="single" w:sz="4" w:space="0" w:color="auto"/>
            </w:tcBorders>
          </w:tcPr>
          <w:p w:rsidR="002A4EEE" w:rsidRPr="002A4EEE" w:rsidRDefault="002A4EEE" w:rsidP="002A4EEE">
            <w:pPr>
              <w:pStyle w:val="Tabellinnehllvnster"/>
              <w:rPr>
                <w:rFonts w:cs="Arial"/>
                <w:sz w:val="18"/>
                <w:szCs w:val="18"/>
              </w:rPr>
            </w:pPr>
            <w:r w:rsidRPr="002A4EEE">
              <w:rPr>
                <w:rFonts w:cs="Arial"/>
                <w:sz w:val="18"/>
                <w:szCs w:val="18"/>
              </w:rPr>
              <w:t>12</w:t>
            </w:r>
          </w:p>
        </w:tc>
        <w:tc>
          <w:tcPr>
            <w:tcW w:w="626" w:type="dxa"/>
            <w:tcBorders>
              <w:left w:val="single" w:sz="4" w:space="0" w:color="auto"/>
              <w:right w:val="single" w:sz="4" w:space="0" w:color="auto"/>
            </w:tcBorders>
          </w:tcPr>
          <w:p w:rsidR="002A4EEE" w:rsidRPr="002A4EEE" w:rsidRDefault="002A4EEE" w:rsidP="002A4EEE">
            <w:pPr>
              <w:pStyle w:val="Tabellinnehllvnster"/>
              <w:rPr>
                <w:rFonts w:cs="Arial"/>
                <w:sz w:val="18"/>
                <w:szCs w:val="18"/>
              </w:rPr>
            </w:pPr>
            <w:r w:rsidRPr="002A4EEE">
              <w:rPr>
                <w:rFonts w:cs="Arial"/>
                <w:sz w:val="18"/>
                <w:szCs w:val="18"/>
              </w:rPr>
              <w:t>7</w:t>
            </w:r>
          </w:p>
        </w:tc>
        <w:tc>
          <w:tcPr>
            <w:tcW w:w="627" w:type="dxa"/>
            <w:tcBorders>
              <w:left w:val="single" w:sz="4" w:space="0" w:color="auto"/>
              <w:right w:val="single" w:sz="4" w:space="0" w:color="auto"/>
            </w:tcBorders>
          </w:tcPr>
          <w:p w:rsidR="002A4EEE" w:rsidRPr="002A4EEE" w:rsidRDefault="002A4EEE" w:rsidP="002A4EEE">
            <w:pPr>
              <w:pStyle w:val="Tabellinnehllvnster"/>
              <w:rPr>
                <w:rFonts w:cs="Arial"/>
                <w:sz w:val="18"/>
                <w:szCs w:val="18"/>
              </w:rPr>
            </w:pPr>
            <w:r w:rsidRPr="002A4EEE">
              <w:rPr>
                <w:rFonts w:cs="Arial"/>
                <w:sz w:val="18"/>
                <w:szCs w:val="18"/>
              </w:rPr>
              <w:t>5</w:t>
            </w:r>
          </w:p>
        </w:tc>
        <w:tc>
          <w:tcPr>
            <w:tcW w:w="627" w:type="dxa"/>
            <w:tcBorders>
              <w:left w:val="single" w:sz="4" w:space="0" w:color="auto"/>
              <w:right w:val="single" w:sz="4" w:space="0" w:color="auto"/>
            </w:tcBorders>
          </w:tcPr>
          <w:p w:rsidR="002A4EEE" w:rsidRPr="002A4EEE" w:rsidRDefault="002A4EEE" w:rsidP="002A4EEE">
            <w:pPr>
              <w:pStyle w:val="Tabellinnehllvnster"/>
              <w:rPr>
                <w:rFonts w:cs="Arial"/>
                <w:sz w:val="18"/>
                <w:szCs w:val="18"/>
              </w:rPr>
            </w:pPr>
            <w:r w:rsidRPr="002A4EEE">
              <w:rPr>
                <w:rFonts w:cs="Arial"/>
                <w:sz w:val="18"/>
                <w:szCs w:val="18"/>
              </w:rPr>
              <w:t>1</w:t>
            </w:r>
          </w:p>
        </w:tc>
        <w:tc>
          <w:tcPr>
            <w:tcW w:w="627" w:type="dxa"/>
            <w:tcBorders>
              <w:left w:val="single" w:sz="4" w:space="0" w:color="auto"/>
              <w:right w:val="single" w:sz="4" w:space="0" w:color="auto"/>
            </w:tcBorders>
          </w:tcPr>
          <w:p w:rsidR="002A4EEE" w:rsidRPr="002A4EEE" w:rsidRDefault="002A4EEE" w:rsidP="002A4EEE">
            <w:pPr>
              <w:pStyle w:val="Tabellinnehllvnster"/>
              <w:rPr>
                <w:rFonts w:cs="Arial"/>
                <w:sz w:val="18"/>
                <w:szCs w:val="18"/>
              </w:rPr>
            </w:pPr>
            <w:r w:rsidRPr="002A4EEE">
              <w:rPr>
                <w:rFonts w:cs="Arial"/>
                <w:sz w:val="18"/>
                <w:szCs w:val="18"/>
              </w:rPr>
              <w:t>4</w:t>
            </w:r>
          </w:p>
        </w:tc>
        <w:tc>
          <w:tcPr>
            <w:tcW w:w="627" w:type="dxa"/>
            <w:tcBorders>
              <w:left w:val="single" w:sz="4" w:space="0" w:color="auto"/>
              <w:right w:val="single" w:sz="4" w:space="0" w:color="auto"/>
            </w:tcBorders>
          </w:tcPr>
          <w:p w:rsidR="002A4EEE" w:rsidRPr="002A4EEE" w:rsidRDefault="002A4EEE" w:rsidP="002A4EEE">
            <w:pPr>
              <w:pStyle w:val="Tabellinnehllvnster"/>
              <w:rPr>
                <w:rFonts w:cs="Arial"/>
                <w:sz w:val="18"/>
                <w:szCs w:val="18"/>
              </w:rPr>
            </w:pPr>
            <w:r w:rsidRPr="002A4EEE">
              <w:rPr>
                <w:rFonts w:cs="Arial"/>
                <w:sz w:val="18"/>
                <w:szCs w:val="18"/>
              </w:rPr>
              <w:t>2</w:t>
            </w:r>
          </w:p>
        </w:tc>
        <w:tc>
          <w:tcPr>
            <w:tcW w:w="627" w:type="dxa"/>
            <w:tcBorders>
              <w:left w:val="single" w:sz="4" w:space="0" w:color="auto"/>
              <w:right w:val="single" w:sz="4" w:space="0" w:color="auto"/>
            </w:tcBorders>
          </w:tcPr>
          <w:p w:rsidR="002A4EEE" w:rsidRPr="002A4EEE" w:rsidRDefault="002A4EEE" w:rsidP="002A4EEE">
            <w:pPr>
              <w:pStyle w:val="Tabellinnehllvnster"/>
              <w:rPr>
                <w:rFonts w:cs="Arial"/>
                <w:sz w:val="18"/>
                <w:szCs w:val="18"/>
              </w:rPr>
            </w:pPr>
            <w:r w:rsidRPr="002A4EEE">
              <w:rPr>
                <w:rFonts w:cs="Arial"/>
                <w:sz w:val="18"/>
                <w:szCs w:val="18"/>
              </w:rPr>
              <w:t>1</w:t>
            </w:r>
          </w:p>
        </w:tc>
        <w:tc>
          <w:tcPr>
            <w:tcW w:w="628" w:type="dxa"/>
            <w:tcBorders>
              <w:left w:val="single" w:sz="4" w:space="0" w:color="auto"/>
              <w:right w:val="single" w:sz="4" w:space="0" w:color="auto"/>
            </w:tcBorders>
          </w:tcPr>
          <w:p w:rsidR="002A4EEE" w:rsidRPr="002A4EEE" w:rsidRDefault="002A4EEE" w:rsidP="002A4EEE">
            <w:pPr>
              <w:pStyle w:val="Tabellinnehllvnster"/>
              <w:rPr>
                <w:rFonts w:cs="Arial"/>
                <w:sz w:val="18"/>
                <w:szCs w:val="18"/>
              </w:rPr>
            </w:pPr>
            <w:r w:rsidRPr="002A4EEE">
              <w:rPr>
                <w:rFonts w:cs="Arial"/>
                <w:sz w:val="18"/>
                <w:szCs w:val="18"/>
              </w:rPr>
              <w:t>3</w:t>
            </w:r>
          </w:p>
        </w:tc>
      </w:tr>
      <w:tr w:rsidR="002A4EEE" w:rsidTr="00552AB2">
        <w:tc>
          <w:tcPr>
            <w:tcW w:w="2469" w:type="dxa"/>
            <w:gridSpan w:val="3"/>
            <w:tcBorders>
              <w:left w:val="single" w:sz="4" w:space="0" w:color="auto"/>
              <w:right w:val="single" w:sz="4" w:space="0" w:color="auto"/>
            </w:tcBorders>
            <w:shd w:val="clear" w:color="auto" w:fill="FFFFFF" w:themeFill="background1"/>
          </w:tcPr>
          <w:p w:rsidR="002A4EEE" w:rsidRPr="002A4EEE" w:rsidRDefault="00552AB2" w:rsidP="002A4EEE">
            <w:pPr>
              <w:pStyle w:val="Tabellinnehllvnster"/>
              <w:rPr>
                <w:rFonts w:cs="Arial"/>
                <w:sz w:val="18"/>
                <w:szCs w:val="18"/>
              </w:rPr>
            </w:pPr>
            <w:r>
              <w:rPr>
                <w:rFonts w:cs="Arial"/>
                <w:sz w:val="18"/>
                <w:szCs w:val="18"/>
              </w:rPr>
              <w:t>v</w:t>
            </w:r>
            <w:r w:rsidR="002A4EEE" w:rsidRPr="002A4EEE">
              <w:rPr>
                <w:rFonts w:cs="Arial"/>
                <w:sz w:val="18"/>
                <w:szCs w:val="18"/>
              </w:rPr>
              <w:t>arav utländska företag</w:t>
            </w:r>
          </w:p>
        </w:tc>
        <w:tc>
          <w:tcPr>
            <w:tcW w:w="626" w:type="dxa"/>
            <w:gridSpan w:val="2"/>
            <w:tcBorders>
              <w:left w:val="single" w:sz="4" w:space="0" w:color="auto"/>
              <w:right w:val="single" w:sz="4" w:space="0" w:color="auto"/>
            </w:tcBorders>
            <w:shd w:val="clear" w:color="auto" w:fill="FFFFFF" w:themeFill="background1"/>
          </w:tcPr>
          <w:p w:rsidR="002A4EEE" w:rsidRPr="002A4EEE" w:rsidRDefault="002A4EEE" w:rsidP="002A4EEE">
            <w:pPr>
              <w:pStyle w:val="Tabellinnehllvnster"/>
              <w:rPr>
                <w:rFonts w:cs="Arial"/>
                <w:sz w:val="18"/>
                <w:szCs w:val="18"/>
              </w:rPr>
            </w:pPr>
            <w:r w:rsidRPr="002A4EEE">
              <w:rPr>
                <w:rFonts w:cs="Arial"/>
                <w:sz w:val="18"/>
                <w:szCs w:val="18"/>
              </w:rPr>
              <w:t>11</w:t>
            </w:r>
          </w:p>
        </w:tc>
        <w:tc>
          <w:tcPr>
            <w:tcW w:w="626" w:type="dxa"/>
            <w:tcBorders>
              <w:left w:val="single" w:sz="4" w:space="0" w:color="auto"/>
              <w:right w:val="single" w:sz="4" w:space="0" w:color="auto"/>
            </w:tcBorders>
            <w:shd w:val="clear" w:color="auto" w:fill="FFFFFF" w:themeFill="background1"/>
          </w:tcPr>
          <w:p w:rsidR="002A4EEE" w:rsidRPr="002A4EEE" w:rsidRDefault="002A4EEE" w:rsidP="002A4EEE">
            <w:pPr>
              <w:pStyle w:val="Tabellinnehllvnster"/>
              <w:rPr>
                <w:rFonts w:cs="Arial"/>
                <w:sz w:val="18"/>
                <w:szCs w:val="18"/>
              </w:rPr>
            </w:pPr>
            <w:r w:rsidRPr="002A4EEE">
              <w:rPr>
                <w:rFonts w:cs="Arial"/>
                <w:sz w:val="18"/>
                <w:szCs w:val="18"/>
              </w:rPr>
              <w:t>4</w:t>
            </w:r>
          </w:p>
        </w:tc>
        <w:tc>
          <w:tcPr>
            <w:tcW w:w="627" w:type="dxa"/>
            <w:tcBorders>
              <w:left w:val="single" w:sz="4" w:space="0" w:color="auto"/>
              <w:right w:val="single" w:sz="4" w:space="0" w:color="auto"/>
            </w:tcBorders>
            <w:shd w:val="clear" w:color="auto" w:fill="FFFFFF" w:themeFill="background1"/>
          </w:tcPr>
          <w:p w:rsidR="002A4EEE" w:rsidRPr="002A4EEE" w:rsidRDefault="002A4EEE" w:rsidP="002A4EEE">
            <w:pPr>
              <w:pStyle w:val="Tabellinnehllvnster"/>
              <w:rPr>
                <w:rFonts w:cs="Arial"/>
                <w:sz w:val="18"/>
                <w:szCs w:val="18"/>
              </w:rPr>
            </w:pPr>
            <w:r w:rsidRPr="002A4EEE">
              <w:rPr>
                <w:rFonts w:cs="Arial"/>
                <w:sz w:val="18"/>
                <w:szCs w:val="18"/>
              </w:rPr>
              <w:t>1</w:t>
            </w:r>
          </w:p>
        </w:tc>
        <w:tc>
          <w:tcPr>
            <w:tcW w:w="627" w:type="dxa"/>
            <w:tcBorders>
              <w:left w:val="single" w:sz="4" w:space="0" w:color="auto"/>
              <w:right w:val="single" w:sz="4" w:space="0" w:color="auto"/>
            </w:tcBorders>
            <w:shd w:val="clear" w:color="auto" w:fill="FFFFFF" w:themeFill="background1"/>
          </w:tcPr>
          <w:p w:rsidR="002A4EEE" w:rsidRPr="002A4EEE" w:rsidRDefault="002A4EEE" w:rsidP="002A4EEE">
            <w:pPr>
              <w:pStyle w:val="Tabellinnehllvnster"/>
              <w:rPr>
                <w:rFonts w:cs="Arial"/>
                <w:sz w:val="18"/>
                <w:szCs w:val="18"/>
              </w:rPr>
            </w:pPr>
            <w:r w:rsidRPr="002A4EEE">
              <w:rPr>
                <w:rFonts w:cs="Arial"/>
                <w:sz w:val="18"/>
                <w:szCs w:val="18"/>
              </w:rPr>
              <w:t>1</w:t>
            </w:r>
          </w:p>
        </w:tc>
        <w:tc>
          <w:tcPr>
            <w:tcW w:w="627" w:type="dxa"/>
            <w:tcBorders>
              <w:left w:val="single" w:sz="4" w:space="0" w:color="auto"/>
              <w:right w:val="single" w:sz="4" w:space="0" w:color="auto"/>
            </w:tcBorders>
            <w:shd w:val="clear" w:color="auto" w:fill="FFFFFF" w:themeFill="background1"/>
          </w:tcPr>
          <w:p w:rsidR="002A4EEE" w:rsidRPr="002A4EEE" w:rsidRDefault="002A4EEE" w:rsidP="002A4EEE">
            <w:pPr>
              <w:pStyle w:val="Tabellinnehllvnster"/>
              <w:rPr>
                <w:rFonts w:cs="Arial"/>
                <w:sz w:val="18"/>
                <w:szCs w:val="18"/>
              </w:rPr>
            </w:pPr>
            <w:r w:rsidRPr="002A4EEE">
              <w:rPr>
                <w:rFonts w:cs="Arial"/>
                <w:sz w:val="18"/>
                <w:szCs w:val="18"/>
              </w:rPr>
              <w:t>0</w:t>
            </w:r>
          </w:p>
        </w:tc>
        <w:tc>
          <w:tcPr>
            <w:tcW w:w="627" w:type="dxa"/>
            <w:tcBorders>
              <w:left w:val="single" w:sz="4" w:space="0" w:color="auto"/>
              <w:right w:val="single" w:sz="4" w:space="0" w:color="auto"/>
            </w:tcBorders>
            <w:shd w:val="clear" w:color="auto" w:fill="FFFFFF" w:themeFill="background1"/>
          </w:tcPr>
          <w:p w:rsidR="002A4EEE" w:rsidRPr="002A4EEE" w:rsidRDefault="002A4EEE" w:rsidP="002A4EEE">
            <w:pPr>
              <w:pStyle w:val="Tabellinnehllvnster"/>
              <w:rPr>
                <w:rFonts w:cs="Arial"/>
                <w:sz w:val="18"/>
                <w:szCs w:val="18"/>
              </w:rPr>
            </w:pPr>
            <w:r w:rsidRPr="002A4EEE">
              <w:rPr>
                <w:rFonts w:cs="Arial"/>
                <w:sz w:val="18"/>
                <w:szCs w:val="18"/>
              </w:rPr>
              <w:t>0</w:t>
            </w:r>
          </w:p>
        </w:tc>
        <w:tc>
          <w:tcPr>
            <w:tcW w:w="627" w:type="dxa"/>
            <w:tcBorders>
              <w:left w:val="single" w:sz="4" w:space="0" w:color="auto"/>
              <w:right w:val="single" w:sz="4" w:space="0" w:color="auto"/>
            </w:tcBorders>
            <w:shd w:val="clear" w:color="auto" w:fill="FFFFFF" w:themeFill="background1"/>
          </w:tcPr>
          <w:p w:rsidR="002A4EEE" w:rsidRPr="002A4EEE" w:rsidRDefault="002A4EEE" w:rsidP="002A4EEE">
            <w:pPr>
              <w:pStyle w:val="Tabellinnehllvnster"/>
              <w:rPr>
                <w:rFonts w:cs="Arial"/>
                <w:sz w:val="18"/>
                <w:szCs w:val="18"/>
              </w:rPr>
            </w:pPr>
            <w:r w:rsidRPr="002A4EEE">
              <w:rPr>
                <w:rFonts w:cs="Arial"/>
                <w:sz w:val="18"/>
                <w:szCs w:val="18"/>
              </w:rPr>
              <w:t>0</w:t>
            </w:r>
          </w:p>
        </w:tc>
        <w:tc>
          <w:tcPr>
            <w:tcW w:w="628" w:type="dxa"/>
            <w:tcBorders>
              <w:left w:val="single" w:sz="4" w:space="0" w:color="auto"/>
              <w:right w:val="single" w:sz="4" w:space="0" w:color="auto"/>
            </w:tcBorders>
            <w:shd w:val="clear" w:color="auto" w:fill="FFFFFF" w:themeFill="background1"/>
          </w:tcPr>
          <w:p w:rsidR="002A4EEE" w:rsidRPr="002A4EEE" w:rsidRDefault="002A4EEE" w:rsidP="002A4EEE">
            <w:pPr>
              <w:pStyle w:val="Tabellinnehllvnster"/>
              <w:rPr>
                <w:rFonts w:cs="Arial"/>
                <w:sz w:val="18"/>
                <w:szCs w:val="18"/>
              </w:rPr>
            </w:pPr>
            <w:r w:rsidRPr="002A4EEE">
              <w:rPr>
                <w:rFonts w:cs="Arial"/>
                <w:sz w:val="18"/>
                <w:szCs w:val="18"/>
              </w:rPr>
              <w:t>0</w:t>
            </w:r>
          </w:p>
        </w:tc>
      </w:tr>
      <w:tr w:rsidR="002A4EEE" w:rsidTr="00552AB2">
        <w:tc>
          <w:tcPr>
            <w:tcW w:w="1101" w:type="dxa"/>
            <w:tcBorders>
              <w:left w:val="single" w:sz="4" w:space="0" w:color="auto"/>
            </w:tcBorders>
          </w:tcPr>
          <w:p w:rsidR="002A4EEE" w:rsidRPr="002A4EEE" w:rsidRDefault="002A4EEE" w:rsidP="002A4EEE">
            <w:pPr>
              <w:pStyle w:val="Tabellinnehllvnster"/>
              <w:rPr>
                <w:rFonts w:cs="Arial"/>
                <w:sz w:val="18"/>
                <w:szCs w:val="18"/>
              </w:rPr>
            </w:pPr>
            <w:r>
              <w:rPr>
                <w:rFonts w:cs="Arial"/>
                <w:sz w:val="18"/>
                <w:szCs w:val="18"/>
              </w:rPr>
              <w:t>varav</w:t>
            </w:r>
            <w:r w:rsidRPr="002A4EEE">
              <w:rPr>
                <w:rFonts w:cs="Arial"/>
                <w:sz w:val="18"/>
                <w:szCs w:val="18"/>
              </w:rPr>
              <w:t xml:space="preserve"> </w:t>
            </w:r>
          </w:p>
        </w:tc>
        <w:tc>
          <w:tcPr>
            <w:tcW w:w="1361" w:type="dxa"/>
            <w:tcBorders>
              <w:right w:val="single" w:sz="4" w:space="0" w:color="auto"/>
            </w:tcBorders>
          </w:tcPr>
          <w:p w:rsidR="002A4EEE" w:rsidRPr="002A4EEE" w:rsidRDefault="002A4EEE" w:rsidP="002A4EEE">
            <w:pPr>
              <w:pStyle w:val="Tabellinnehllvnster"/>
              <w:rPr>
                <w:rFonts w:cs="Arial"/>
                <w:sz w:val="18"/>
                <w:szCs w:val="18"/>
              </w:rPr>
            </w:pPr>
            <w:r>
              <w:rPr>
                <w:rFonts w:cs="Arial"/>
                <w:sz w:val="18"/>
                <w:szCs w:val="18"/>
              </w:rPr>
              <w:t>LO-förbund</w:t>
            </w:r>
          </w:p>
        </w:tc>
        <w:tc>
          <w:tcPr>
            <w:tcW w:w="627" w:type="dxa"/>
            <w:gridSpan w:val="2"/>
            <w:tcBorders>
              <w:left w:val="single" w:sz="4" w:space="0" w:color="auto"/>
              <w:right w:val="single" w:sz="4" w:space="0" w:color="auto"/>
            </w:tcBorders>
          </w:tcPr>
          <w:p w:rsidR="002A4EEE" w:rsidRPr="002A4EEE" w:rsidRDefault="002A4EEE" w:rsidP="002A4EEE">
            <w:pPr>
              <w:pStyle w:val="Tabellinnehllvnster"/>
              <w:rPr>
                <w:rFonts w:cs="Arial"/>
                <w:sz w:val="18"/>
                <w:szCs w:val="18"/>
              </w:rPr>
            </w:pPr>
            <w:r w:rsidRPr="002A4EEE">
              <w:rPr>
                <w:rFonts w:cs="Arial"/>
                <w:sz w:val="18"/>
                <w:szCs w:val="18"/>
              </w:rPr>
              <w:t>51</w:t>
            </w:r>
          </w:p>
        </w:tc>
        <w:tc>
          <w:tcPr>
            <w:tcW w:w="632" w:type="dxa"/>
            <w:gridSpan w:val="2"/>
            <w:tcBorders>
              <w:left w:val="single" w:sz="4" w:space="0" w:color="auto"/>
              <w:right w:val="single" w:sz="4" w:space="0" w:color="auto"/>
            </w:tcBorders>
          </w:tcPr>
          <w:p w:rsidR="002A4EEE" w:rsidRPr="002A4EEE" w:rsidRDefault="002A4EEE" w:rsidP="002A4EEE">
            <w:pPr>
              <w:pStyle w:val="Tabellinnehllvnster"/>
              <w:rPr>
                <w:rFonts w:cs="Arial"/>
                <w:sz w:val="18"/>
                <w:szCs w:val="18"/>
              </w:rPr>
            </w:pPr>
            <w:r w:rsidRPr="002A4EEE">
              <w:rPr>
                <w:rFonts w:cs="Arial"/>
                <w:sz w:val="18"/>
                <w:szCs w:val="18"/>
              </w:rPr>
              <w:t>98</w:t>
            </w:r>
          </w:p>
        </w:tc>
        <w:tc>
          <w:tcPr>
            <w:tcW w:w="627" w:type="dxa"/>
            <w:tcBorders>
              <w:left w:val="single" w:sz="4" w:space="0" w:color="auto"/>
              <w:right w:val="single" w:sz="4" w:space="0" w:color="auto"/>
            </w:tcBorders>
          </w:tcPr>
          <w:p w:rsidR="002A4EEE" w:rsidRPr="002A4EEE" w:rsidRDefault="002A4EEE" w:rsidP="002A4EEE">
            <w:pPr>
              <w:pStyle w:val="Tabellinnehllvnster"/>
              <w:rPr>
                <w:rFonts w:cs="Arial"/>
                <w:sz w:val="18"/>
                <w:szCs w:val="18"/>
              </w:rPr>
            </w:pPr>
            <w:r w:rsidRPr="002A4EEE">
              <w:rPr>
                <w:rFonts w:cs="Arial"/>
                <w:sz w:val="18"/>
                <w:szCs w:val="18"/>
              </w:rPr>
              <w:t>43</w:t>
            </w:r>
          </w:p>
        </w:tc>
        <w:tc>
          <w:tcPr>
            <w:tcW w:w="627" w:type="dxa"/>
            <w:tcBorders>
              <w:left w:val="single" w:sz="4" w:space="0" w:color="auto"/>
              <w:right w:val="single" w:sz="4" w:space="0" w:color="auto"/>
            </w:tcBorders>
          </w:tcPr>
          <w:p w:rsidR="002A4EEE" w:rsidRPr="002A4EEE" w:rsidRDefault="002A4EEE" w:rsidP="002A4EEE">
            <w:pPr>
              <w:pStyle w:val="Tabellinnehllvnster"/>
              <w:rPr>
                <w:rFonts w:cs="Arial"/>
                <w:sz w:val="18"/>
                <w:szCs w:val="18"/>
              </w:rPr>
            </w:pPr>
            <w:r w:rsidRPr="002A4EEE">
              <w:rPr>
                <w:rFonts w:cs="Arial"/>
                <w:sz w:val="18"/>
                <w:szCs w:val="18"/>
              </w:rPr>
              <w:t>12</w:t>
            </w:r>
          </w:p>
        </w:tc>
        <w:tc>
          <w:tcPr>
            <w:tcW w:w="627" w:type="dxa"/>
            <w:tcBorders>
              <w:left w:val="single" w:sz="4" w:space="0" w:color="auto"/>
              <w:right w:val="single" w:sz="4" w:space="0" w:color="auto"/>
            </w:tcBorders>
          </w:tcPr>
          <w:p w:rsidR="002A4EEE" w:rsidRPr="002A4EEE" w:rsidRDefault="002A4EEE" w:rsidP="002A4EEE">
            <w:pPr>
              <w:pStyle w:val="Tabellinnehllvnster"/>
              <w:rPr>
                <w:rFonts w:cs="Arial"/>
                <w:sz w:val="18"/>
                <w:szCs w:val="18"/>
              </w:rPr>
            </w:pPr>
            <w:r w:rsidRPr="002A4EEE">
              <w:rPr>
                <w:rFonts w:cs="Arial"/>
                <w:sz w:val="18"/>
                <w:szCs w:val="18"/>
              </w:rPr>
              <w:t>16</w:t>
            </w:r>
          </w:p>
        </w:tc>
        <w:tc>
          <w:tcPr>
            <w:tcW w:w="627" w:type="dxa"/>
            <w:tcBorders>
              <w:left w:val="single" w:sz="4" w:space="0" w:color="auto"/>
              <w:right w:val="single" w:sz="4" w:space="0" w:color="auto"/>
            </w:tcBorders>
          </w:tcPr>
          <w:p w:rsidR="002A4EEE" w:rsidRPr="002A4EEE" w:rsidRDefault="002A4EEE" w:rsidP="002A4EEE">
            <w:pPr>
              <w:pStyle w:val="Tabellinnehllvnster"/>
              <w:rPr>
                <w:rFonts w:cs="Arial"/>
                <w:sz w:val="18"/>
                <w:szCs w:val="18"/>
              </w:rPr>
            </w:pPr>
            <w:r w:rsidRPr="002A4EEE">
              <w:rPr>
                <w:rFonts w:cs="Arial"/>
                <w:sz w:val="18"/>
                <w:szCs w:val="18"/>
              </w:rPr>
              <w:t>16</w:t>
            </w:r>
          </w:p>
        </w:tc>
        <w:tc>
          <w:tcPr>
            <w:tcW w:w="627" w:type="dxa"/>
            <w:tcBorders>
              <w:left w:val="single" w:sz="4" w:space="0" w:color="auto"/>
              <w:right w:val="single" w:sz="4" w:space="0" w:color="auto"/>
            </w:tcBorders>
          </w:tcPr>
          <w:p w:rsidR="002A4EEE" w:rsidRPr="002A4EEE" w:rsidRDefault="002A4EEE" w:rsidP="002A4EEE">
            <w:pPr>
              <w:pStyle w:val="Tabellinnehllvnster"/>
              <w:rPr>
                <w:rFonts w:cs="Arial"/>
                <w:sz w:val="18"/>
                <w:szCs w:val="18"/>
              </w:rPr>
            </w:pPr>
            <w:r w:rsidRPr="002A4EEE">
              <w:rPr>
                <w:rFonts w:cs="Arial"/>
                <w:sz w:val="18"/>
                <w:szCs w:val="18"/>
              </w:rPr>
              <w:t>8</w:t>
            </w:r>
          </w:p>
        </w:tc>
        <w:tc>
          <w:tcPr>
            <w:tcW w:w="628" w:type="dxa"/>
            <w:tcBorders>
              <w:left w:val="single" w:sz="4" w:space="0" w:color="auto"/>
              <w:right w:val="single" w:sz="4" w:space="0" w:color="auto"/>
            </w:tcBorders>
          </w:tcPr>
          <w:p w:rsidR="002A4EEE" w:rsidRPr="002A4EEE" w:rsidRDefault="002A4EEE" w:rsidP="002A4EEE">
            <w:pPr>
              <w:pStyle w:val="Tabellinnehllvnster"/>
              <w:rPr>
                <w:rFonts w:cs="Arial"/>
                <w:sz w:val="18"/>
                <w:szCs w:val="18"/>
              </w:rPr>
            </w:pPr>
            <w:r w:rsidRPr="002A4EEE">
              <w:rPr>
                <w:rFonts w:cs="Arial"/>
                <w:sz w:val="18"/>
                <w:szCs w:val="18"/>
              </w:rPr>
              <w:t>13</w:t>
            </w:r>
          </w:p>
        </w:tc>
      </w:tr>
      <w:tr w:rsidR="002A4EEE" w:rsidTr="00552AB2">
        <w:tc>
          <w:tcPr>
            <w:tcW w:w="1101" w:type="dxa"/>
            <w:tcBorders>
              <w:left w:val="single" w:sz="4" w:space="0" w:color="auto"/>
            </w:tcBorders>
            <w:shd w:val="clear" w:color="auto" w:fill="FFFFFF" w:themeFill="background1"/>
          </w:tcPr>
          <w:p w:rsidR="002A4EEE" w:rsidRPr="002A4EEE" w:rsidRDefault="002A4EEE" w:rsidP="002A4EEE">
            <w:pPr>
              <w:pStyle w:val="Tabellinnehllvnster"/>
              <w:rPr>
                <w:rFonts w:cs="Arial"/>
                <w:sz w:val="18"/>
                <w:szCs w:val="18"/>
              </w:rPr>
            </w:pPr>
          </w:p>
        </w:tc>
        <w:tc>
          <w:tcPr>
            <w:tcW w:w="1361" w:type="dxa"/>
            <w:tcBorders>
              <w:right w:val="single" w:sz="4" w:space="0" w:color="auto"/>
            </w:tcBorders>
            <w:shd w:val="clear" w:color="auto" w:fill="FFFFFF" w:themeFill="background1"/>
          </w:tcPr>
          <w:p w:rsidR="002A4EEE" w:rsidRPr="002A4EEE" w:rsidRDefault="002A4EEE" w:rsidP="002A4EEE">
            <w:pPr>
              <w:pStyle w:val="Tabellinnehllvnster"/>
              <w:rPr>
                <w:rFonts w:cs="Arial"/>
                <w:sz w:val="18"/>
                <w:szCs w:val="18"/>
              </w:rPr>
            </w:pPr>
            <w:r>
              <w:rPr>
                <w:rFonts w:cs="Arial"/>
                <w:sz w:val="18"/>
                <w:szCs w:val="18"/>
              </w:rPr>
              <w:t>TCO-förbund</w:t>
            </w:r>
          </w:p>
        </w:tc>
        <w:tc>
          <w:tcPr>
            <w:tcW w:w="627" w:type="dxa"/>
            <w:gridSpan w:val="2"/>
            <w:tcBorders>
              <w:left w:val="single" w:sz="4" w:space="0" w:color="auto"/>
              <w:right w:val="single" w:sz="4" w:space="0" w:color="auto"/>
            </w:tcBorders>
            <w:shd w:val="clear" w:color="auto" w:fill="FFFFFF" w:themeFill="background1"/>
          </w:tcPr>
          <w:p w:rsidR="002A4EEE" w:rsidRPr="002A4EEE" w:rsidRDefault="002A4EEE" w:rsidP="002A4EEE">
            <w:pPr>
              <w:pStyle w:val="Tabellinnehllvnster"/>
              <w:rPr>
                <w:rFonts w:cs="Arial"/>
                <w:sz w:val="18"/>
                <w:szCs w:val="18"/>
              </w:rPr>
            </w:pPr>
            <w:r w:rsidRPr="002A4EEE">
              <w:rPr>
                <w:rFonts w:cs="Arial"/>
                <w:sz w:val="18"/>
                <w:szCs w:val="18"/>
              </w:rPr>
              <w:t>2</w:t>
            </w:r>
          </w:p>
        </w:tc>
        <w:tc>
          <w:tcPr>
            <w:tcW w:w="632" w:type="dxa"/>
            <w:gridSpan w:val="2"/>
            <w:tcBorders>
              <w:left w:val="single" w:sz="4" w:space="0" w:color="auto"/>
              <w:right w:val="single" w:sz="4" w:space="0" w:color="auto"/>
            </w:tcBorders>
            <w:shd w:val="clear" w:color="auto" w:fill="FFFFFF" w:themeFill="background1"/>
          </w:tcPr>
          <w:p w:rsidR="002A4EEE" w:rsidRPr="002A4EEE" w:rsidRDefault="002A4EEE" w:rsidP="002A4EEE">
            <w:pPr>
              <w:pStyle w:val="Tabellinnehllvnster"/>
              <w:rPr>
                <w:rFonts w:cs="Arial"/>
                <w:sz w:val="18"/>
                <w:szCs w:val="18"/>
              </w:rPr>
            </w:pPr>
            <w:r w:rsidRPr="002A4EEE">
              <w:rPr>
                <w:rFonts w:cs="Arial"/>
                <w:sz w:val="18"/>
                <w:szCs w:val="18"/>
              </w:rPr>
              <w:t xml:space="preserve"> --</w:t>
            </w:r>
          </w:p>
        </w:tc>
        <w:tc>
          <w:tcPr>
            <w:tcW w:w="627" w:type="dxa"/>
            <w:tcBorders>
              <w:left w:val="single" w:sz="4" w:space="0" w:color="auto"/>
              <w:right w:val="single" w:sz="4" w:space="0" w:color="auto"/>
            </w:tcBorders>
            <w:shd w:val="clear" w:color="auto" w:fill="FFFFFF" w:themeFill="background1"/>
          </w:tcPr>
          <w:p w:rsidR="002A4EEE" w:rsidRPr="002A4EEE" w:rsidRDefault="002A4EEE" w:rsidP="002A4EEE">
            <w:pPr>
              <w:pStyle w:val="Tabellinnehllvnster"/>
              <w:rPr>
                <w:rFonts w:cs="Arial"/>
                <w:sz w:val="18"/>
                <w:szCs w:val="18"/>
              </w:rPr>
            </w:pPr>
            <w:r w:rsidRPr="002A4EEE">
              <w:rPr>
                <w:rFonts w:cs="Arial"/>
                <w:sz w:val="18"/>
                <w:szCs w:val="18"/>
              </w:rPr>
              <w:t xml:space="preserve"> --</w:t>
            </w:r>
          </w:p>
        </w:tc>
        <w:tc>
          <w:tcPr>
            <w:tcW w:w="627" w:type="dxa"/>
            <w:tcBorders>
              <w:left w:val="single" w:sz="4" w:space="0" w:color="auto"/>
              <w:right w:val="single" w:sz="4" w:space="0" w:color="auto"/>
            </w:tcBorders>
            <w:shd w:val="clear" w:color="auto" w:fill="FFFFFF" w:themeFill="background1"/>
          </w:tcPr>
          <w:p w:rsidR="002A4EEE" w:rsidRPr="002A4EEE" w:rsidRDefault="002A4EEE" w:rsidP="002A4EEE">
            <w:pPr>
              <w:pStyle w:val="Tabellinnehllvnster"/>
              <w:rPr>
                <w:rFonts w:cs="Arial"/>
                <w:sz w:val="18"/>
                <w:szCs w:val="18"/>
              </w:rPr>
            </w:pPr>
            <w:r w:rsidRPr="002A4EEE">
              <w:rPr>
                <w:rFonts w:cs="Arial"/>
                <w:sz w:val="18"/>
                <w:szCs w:val="18"/>
              </w:rPr>
              <w:t xml:space="preserve"> --</w:t>
            </w:r>
          </w:p>
        </w:tc>
        <w:tc>
          <w:tcPr>
            <w:tcW w:w="627" w:type="dxa"/>
            <w:tcBorders>
              <w:left w:val="single" w:sz="4" w:space="0" w:color="auto"/>
              <w:right w:val="single" w:sz="4" w:space="0" w:color="auto"/>
            </w:tcBorders>
            <w:shd w:val="clear" w:color="auto" w:fill="FFFFFF" w:themeFill="background1"/>
          </w:tcPr>
          <w:p w:rsidR="002A4EEE" w:rsidRPr="002A4EEE" w:rsidRDefault="002A4EEE" w:rsidP="002A4EEE">
            <w:pPr>
              <w:pStyle w:val="Tabellinnehllvnster"/>
              <w:rPr>
                <w:rFonts w:cs="Arial"/>
                <w:sz w:val="18"/>
                <w:szCs w:val="18"/>
              </w:rPr>
            </w:pPr>
            <w:r w:rsidRPr="002A4EEE">
              <w:rPr>
                <w:rFonts w:cs="Arial"/>
                <w:sz w:val="18"/>
                <w:szCs w:val="18"/>
              </w:rPr>
              <w:t xml:space="preserve"> --</w:t>
            </w:r>
          </w:p>
        </w:tc>
        <w:tc>
          <w:tcPr>
            <w:tcW w:w="627" w:type="dxa"/>
            <w:tcBorders>
              <w:left w:val="single" w:sz="4" w:space="0" w:color="auto"/>
              <w:right w:val="single" w:sz="4" w:space="0" w:color="auto"/>
            </w:tcBorders>
            <w:shd w:val="clear" w:color="auto" w:fill="FFFFFF" w:themeFill="background1"/>
          </w:tcPr>
          <w:p w:rsidR="002A4EEE" w:rsidRPr="002A4EEE" w:rsidRDefault="002A4EEE" w:rsidP="002A4EEE">
            <w:pPr>
              <w:pStyle w:val="Tabellinnehllvnster"/>
              <w:rPr>
                <w:rFonts w:cs="Arial"/>
                <w:sz w:val="18"/>
                <w:szCs w:val="18"/>
              </w:rPr>
            </w:pPr>
            <w:r w:rsidRPr="002A4EEE">
              <w:rPr>
                <w:rFonts w:cs="Arial"/>
                <w:sz w:val="18"/>
                <w:szCs w:val="18"/>
              </w:rPr>
              <w:t>1</w:t>
            </w:r>
          </w:p>
        </w:tc>
        <w:tc>
          <w:tcPr>
            <w:tcW w:w="627" w:type="dxa"/>
            <w:tcBorders>
              <w:left w:val="single" w:sz="4" w:space="0" w:color="auto"/>
              <w:right w:val="single" w:sz="4" w:space="0" w:color="auto"/>
            </w:tcBorders>
            <w:shd w:val="clear" w:color="auto" w:fill="FFFFFF" w:themeFill="background1"/>
          </w:tcPr>
          <w:p w:rsidR="002A4EEE" w:rsidRPr="002A4EEE" w:rsidRDefault="002A4EEE" w:rsidP="002A4EEE">
            <w:pPr>
              <w:pStyle w:val="Tabellinnehllvnster"/>
              <w:rPr>
                <w:rFonts w:cs="Arial"/>
                <w:sz w:val="18"/>
                <w:szCs w:val="18"/>
              </w:rPr>
            </w:pPr>
            <w:r w:rsidRPr="002A4EEE">
              <w:rPr>
                <w:rFonts w:cs="Arial"/>
                <w:sz w:val="18"/>
                <w:szCs w:val="18"/>
              </w:rPr>
              <w:t>2</w:t>
            </w:r>
          </w:p>
        </w:tc>
        <w:tc>
          <w:tcPr>
            <w:tcW w:w="628" w:type="dxa"/>
            <w:tcBorders>
              <w:left w:val="single" w:sz="4" w:space="0" w:color="auto"/>
              <w:right w:val="single" w:sz="4" w:space="0" w:color="auto"/>
            </w:tcBorders>
            <w:shd w:val="clear" w:color="auto" w:fill="FFFFFF" w:themeFill="background1"/>
          </w:tcPr>
          <w:p w:rsidR="002A4EEE" w:rsidRPr="002A4EEE" w:rsidRDefault="002A4EEE" w:rsidP="002A4EEE">
            <w:pPr>
              <w:pStyle w:val="Tabellinnehllvnster"/>
              <w:rPr>
                <w:rFonts w:cs="Arial"/>
                <w:sz w:val="18"/>
                <w:szCs w:val="18"/>
              </w:rPr>
            </w:pPr>
            <w:r w:rsidRPr="002A4EEE">
              <w:rPr>
                <w:rFonts w:cs="Arial"/>
                <w:sz w:val="18"/>
                <w:szCs w:val="18"/>
              </w:rPr>
              <w:t>2</w:t>
            </w:r>
          </w:p>
        </w:tc>
      </w:tr>
      <w:tr w:rsidR="002A4EEE" w:rsidTr="00552AB2">
        <w:tc>
          <w:tcPr>
            <w:tcW w:w="1101" w:type="dxa"/>
            <w:tcBorders>
              <w:left w:val="single" w:sz="4" w:space="0" w:color="auto"/>
            </w:tcBorders>
          </w:tcPr>
          <w:p w:rsidR="002A4EEE" w:rsidRPr="002A4EEE" w:rsidRDefault="002A4EEE" w:rsidP="002A4EEE">
            <w:pPr>
              <w:pStyle w:val="Tabellinnehllvnster"/>
              <w:rPr>
                <w:rFonts w:cs="Arial"/>
                <w:sz w:val="18"/>
                <w:szCs w:val="18"/>
              </w:rPr>
            </w:pPr>
          </w:p>
        </w:tc>
        <w:tc>
          <w:tcPr>
            <w:tcW w:w="1361" w:type="dxa"/>
            <w:tcBorders>
              <w:right w:val="single" w:sz="4" w:space="0" w:color="auto"/>
            </w:tcBorders>
          </w:tcPr>
          <w:p w:rsidR="002A4EEE" w:rsidRPr="002A4EEE" w:rsidRDefault="002A4EEE" w:rsidP="002A4EEE">
            <w:pPr>
              <w:pStyle w:val="Tabellinnehllvnster"/>
              <w:rPr>
                <w:rFonts w:cs="Arial"/>
                <w:sz w:val="18"/>
                <w:szCs w:val="18"/>
              </w:rPr>
            </w:pPr>
            <w:r>
              <w:rPr>
                <w:rFonts w:cs="Arial"/>
                <w:sz w:val="18"/>
                <w:szCs w:val="18"/>
              </w:rPr>
              <w:t>Sacoförbund</w:t>
            </w:r>
          </w:p>
        </w:tc>
        <w:tc>
          <w:tcPr>
            <w:tcW w:w="627" w:type="dxa"/>
            <w:gridSpan w:val="2"/>
            <w:tcBorders>
              <w:left w:val="single" w:sz="4" w:space="0" w:color="auto"/>
              <w:right w:val="single" w:sz="4" w:space="0" w:color="auto"/>
            </w:tcBorders>
          </w:tcPr>
          <w:p w:rsidR="002A4EEE" w:rsidRPr="002A4EEE" w:rsidRDefault="002A4EEE" w:rsidP="002A4EEE">
            <w:pPr>
              <w:pStyle w:val="Tabellinnehllvnster"/>
              <w:rPr>
                <w:rFonts w:cs="Arial"/>
                <w:sz w:val="18"/>
                <w:szCs w:val="18"/>
              </w:rPr>
            </w:pPr>
            <w:r w:rsidRPr="002A4EEE">
              <w:rPr>
                <w:rFonts w:cs="Arial"/>
                <w:sz w:val="18"/>
                <w:szCs w:val="18"/>
              </w:rPr>
              <w:t>1</w:t>
            </w:r>
          </w:p>
        </w:tc>
        <w:tc>
          <w:tcPr>
            <w:tcW w:w="632" w:type="dxa"/>
            <w:gridSpan w:val="2"/>
            <w:tcBorders>
              <w:left w:val="single" w:sz="4" w:space="0" w:color="auto"/>
              <w:right w:val="single" w:sz="4" w:space="0" w:color="auto"/>
            </w:tcBorders>
          </w:tcPr>
          <w:p w:rsidR="002A4EEE" w:rsidRPr="002A4EEE" w:rsidRDefault="002A4EEE" w:rsidP="002A4EEE">
            <w:pPr>
              <w:pStyle w:val="Tabellinnehllvnster"/>
              <w:rPr>
                <w:rFonts w:cs="Arial"/>
                <w:sz w:val="18"/>
                <w:szCs w:val="18"/>
              </w:rPr>
            </w:pPr>
            <w:r w:rsidRPr="002A4EEE">
              <w:rPr>
                <w:rFonts w:cs="Arial"/>
                <w:sz w:val="18"/>
                <w:szCs w:val="18"/>
              </w:rPr>
              <w:t>1</w:t>
            </w:r>
          </w:p>
        </w:tc>
        <w:tc>
          <w:tcPr>
            <w:tcW w:w="627" w:type="dxa"/>
            <w:tcBorders>
              <w:left w:val="single" w:sz="4" w:space="0" w:color="auto"/>
              <w:right w:val="single" w:sz="4" w:space="0" w:color="auto"/>
            </w:tcBorders>
          </w:tcPr>
          <w:p w:rsidR="002A4EEE" w:rsidRPr="002A4EEE" w:rsidRDefault="002A4EEE" w:rsidP="002A4EEE">
            <w:pPr>
              <w:pStyle w:val="Tabellinnehllvnster"/>
              <w:rPr>
                <w:rFonts w:cs="Arial"/>
                <w:sz w:val="18"/>
                <w:szCs w:val="18"/>
              </w:rPr>
            </w:pPr>
            <w:r w:rsidRPr="002A4EEE">
              <w:rPr>
                <w:rFonts w:cs="Arial"/>
                <w:sz w:val="18"/>
                <w:szCs w:val="18"/>
              </w:rPr>
              <w:t xml:space="preserve"> --</w:t>
            </w:r>
          </w:p>
        </w:tc>
        <w:tc>
          <w:tcPr>
            <w:tcW w:w="627" w:type="dxa"/>
            <w:tcBorders>
              <w:left w:val="single" w:sz="4" w:space="0" w:color="auto"/>
              <w:right w:val="single" w:sz="4" w:space="0" w:color="auto"/>
            </w:tcBorders>
          </w:tcPr>
          <w:p w:rsidR="002A4EEE" w:rsidRPr="002A4EEE" w:rsidRDefault="002A4EEE" w:rsidP="002A4EEE">
            <w:pPr>
              <w:pStyle w:val="Tabellinnehllvnster"/>
              <w:rPr>
                <w:rFonts w:cs="Arial"/>
                <w:sz w:val="18"/>
                <w:szCs w:val="18"/>
              </w:rPr>
            </w:pPr>
            <w:r w:rsidRPr="002A4EEE">
              <w:rPr>
                <w:rFonts w:cs="Arial"/>
                <w:sz w:val="18"/>
                <w:szCs w:val="18"/>
              </w:rPr>
              <w:t xml:space="preserve"> --</w:t>
            </w:r>
          </w:p>
        </w:tc>
        <w:tc>
          <w:tcPr>
            <w:tcW w:w="627" w:type="dxa"/>
            <w:tcBorders>
              <w:left w:val="single" w:sz="4" w:space="0" w:color="auto"/>
              <w:right w:val="single" w:sz="4" w:space="0" w:color="auto"/>
            </w:tcBorders>
          </w:tcPr>
          <w:p w:rsidR="002A4EEE" w:rsidRPr="002A4EEE" w:rsidRDefault="002A4EEE" w:rsidP="002A4EEE">
            <w:pPr>
              <w:pStyle w:val="Tabellinnehllvnster"/>
              <w:rPr>
                <w:rFonts w:cs="Arial"/>
                <w:sz w:val="18"/>
                <w:szCs w:val="18"/>
              </w:rPr>
            </w:pPr>
            <w:r w:rsidRPr="002A4EEE">
              <w:rPr>
                <w:rFonts w:cs="Arial"/>
                <w:sz w:val="18"/>
                <w:szCs w:val="18"/>
              </w:rPr>
              <w:t xml:space="preserve"> --</w:t>
            </w:r>
          </w:p>
        </w:tc>
        <w:tc>
          <w:tcPr>
            <w:tcW w:w="627" w:type="dxa"/>
            <w:tcBorders>
              <w:left w:val="single" w:sz="4" w:space="0" w:color="auto"/>
              <w:right w:val="single" w:sz="4" w:space="0" w:color="auto"/>
            </w:tcBorders>
          </w:tcPr>
          <w:p w:rsidR="002A4EEE" w:rsidRPr="002A4EEE" w:rsidRDefault="002A4EEE" w:rsidP="002A4EEE">
            <w:pPr>
              <w:pStyle w:val="Tabellinnehllvnster"/>
              <w:rPr>
                <w:rFonts w:cs="Arial"/>
                <w:sz w:val="18"/>
                <w:szCs w:val="18"/>
              </w:rPr>
            </w:pPr>
            <w:r w:rsidRPr="002A4EEE">
              <w:rPr>
                <w:rFonts w:cs="Arial"/>
                <w:sz w:val="18"/>
                <w:szCs w:val="18"/>
              </w:rPr>
              <w:t>--</w:t>
            </w:r>
          </w:p>
        </w:tc>
        <w:tc>
          <w:tcPr>
            <w:tcW w:w="627" w:type="dxa"/>
            <w:tcBorders>
              <w:left w:val="single" w:sz="4" w:space="0" w:color="auto"/>
              <w:right w:val="single" w:sz="4" w:space="0" w:color="auto"/>
            </w:tcBorders>
          </w:tcPr>
          <w:p w:rsidR="002A4EEE" w:rsidRPr="002A4EEE" w:rsidRDefault="002A4EEE" w:rsidP="002A4EEE">
            <w:pPr>
              <w:pStyle w:val="Tabellinnehllvnster"/>
              <w:rPr>
                <w:rFonts w:cs="Arial"/>
                <w:sz w:val="18"/>
                <w:szCs w:val="18"/>
              </w:rPr>
            </w:pPr>
            <w:r w:rsidRPr="002A4EEE">
              <w:rPr>
                <w:rFonts w:cs="Arial"/>
                <w:sz w:val="18"/>
                <w:szCs w:val="18"/>
              </w:rPr>
              <w:t>--</w:t>
            </w:r>
          </w:p>
        </w:tc>
        <w:tc>
          <w:tcPr>
            <w:tcW w:w="628" w:type="dxa"/>
            <w:tcBorders>
              <w:left w:val="single" w:sz="4" w:space="0" w:color="auto"/>
              <w:right w:val="single" w:sz="4" w:space="0" w:color="auto"/>
            </w:tcBorders>
          </w:tcPr>
          <w:p w:rsidR="002A4EEE" w:rsidRPr="002A4EEE" w:rsidRDefault="00552AB2" w:rsidP="002A4EEE">
            <w:pPr>
              <w:pStyle w:val="Tabellinnehllvnster"/>
              <w:rPr>
                <w:rFonts w:cs="Arial"/>
                <w:sz w:val="18"/>
                <w:szCs w:val="18"/>
              </w:rPr>
            </w:pPr>
            <w:r>
              <w:rPr>
                <w:rFonts w:cs="Arial"/>
                <w:sz w:val="18"/>
                <w:szCs w:val="18"/>
              </w:rPr>
              <w:t>--</w:t>
            </w:r>
          </w:p>
        </w:tc>
      </w:tr>
      <w:tr w:rsidR="002A4EEE" w:rsidTr="00552AB2">
        <w:tc>
          <w:tcPr>
            <w:tcW w:w="1101" w:type="dxa"/>
            <w:tcBorders>
              <w:left w:val="single" w:sz="4" w:space="0" w:color="auto"/>
            </w:tcBorders>
            <w:shd w:val="clear" w:color="auto" w:fill="FFFFFF" w:themeFill="background1"/>
          </w:tcPr>
          <w:p w:rsidR="002A4EEE" w:rsidRPr="002A4EEE" w:rsidRDefault="002A4EEE" w:rsidP="002A4EEE">
            <w:pPr>
              <w:pStyle w:val="Tabellinnehllvnster"/>
              <w:rPr>
                <w:rFonts w:cs="Arial"/>
                <w:sz w:val="18"/>
                <w:szCs w:val="18"/>
              </w:rPr>
            </w:pPr>
          </w:p>
        </w:tc>
        <w:tc>
          <w:tcPr>
            <w:tcW w:w="1368" w:type="dxa"/>
            <w:gridSpan w:val="2"/>
            <w:tcBorders>
              <w:right w:val="single" w:sz="4" w:space="0" w:color="auto"/>
            </w:tcBorders>
            <w:shd w:val="clear" w:color="auto" w:fill="FFFFFF" w:themeFill="background1"/>
          </w:tcPr>
          <w:p w:rsidR="002A4EEE" w:rsidRPr="002A4EEE" w:rsidRDefault="00552AB2" w:rsidP="002A4EEE">
            <w:pPr>
              <w:pStyle w:val="Tabellinnehllvnster"/>
              <w:rPr>
                <w:rFonts w:cs="Arial"/>
                <w:sz w:val="18"/>
                <w:szCs w:val="18"/>
              </w:rPr>
            </w:pPr>
            <w:r>
              <w:rPr>
                <w:rFonts w:cs="Arial"/>
                <w:sz w:val="18"/>
                <w:szCs w:val="18"/>
              </w:rPr>
              <w:t>Övriga</w:t>
            </w:r>
          </w:p>
        </w:tc>
        <w:tc>
          <w:tcPr>
            <w:tcW w:w="626" w:type="dxa"/>
            <w:gridSpan w:val="2"/>
            <w:tcBorders>
              <w:left w:val="single" w:sz="4" w:space="0" w:color="auto"/>
              <w:right w:val="single" w:sz="4" w:space="0" w:color="auto"/>
            </w:tcBorders>
            <w:shd w:val="clear" w:color="auto" w:fill="FFFFFF" w:themeFill="background1"/>
          </w:tcPr>
          <w:p w:rsidR="002A4EEE" w:rsidRPr="002A4EEE" w:rsidRDefault="002A4EEE" w:rsidP="002A4EEE">
            <w:pPr>
              <w:pStyle w:val="Tabellinnehllvnster"/>
              <w:rPr>
                <w:rFonts w:cs="Arial"/>
                <w:sz w:val="18"/>
                <w:szCs w:val="18"/>
              </w:rPr>
            </w:pPr>
            <w:r w:rsidRPr="002A4EEE">
              <w:rPr>
                <w:rFonts w:cs="Arial"/>
                <w:sz w:val="18"/>
                <w:szCs w:val="18"/>
              </w:rPr>
              <w:t>1</w:t>
            </w:r>
          </w:p>
        </w:tc>
        <w:tc>
          <w:tcPr>
            <w:tcW w:w="626" w:type="dxa"/>
            <w:tcBorders>
              <w:left w:val="single" w:sz="4" w:space="0" w:color="auto"/>
              <w:right w:val="single" w:sz="4" w:space="0" w:color="auto"/>
            </w:tcBorders>
            <w:shd w:val="clear" w:color="auto" w:fill="FFFFFF" w:themeFill="background1"/>
          </w:tcPr>
          <w:p w:rsidR="002A4EEE" w:rsidRPr="002A4EEE" w:rsidRDefault="002A4EEE" w:rsidP="002A4EEE">
            <w:pPr>
              <w:pStyle w:val="Tabellinnehllvnster"/>
              <w:rPr>
                <w:rFonts w:cs="Arial"/>
                <w:sz w:val="18"/>
                <w:szCs w:val="18"/>
              </w:rPr>
            </w:pPr>
            <w:r w:rsidRPr="002A4EEE">
              <w:rPr>
                <w:rFonts w:cs="Arial"/>
                <w:sz w:val="18"/>
                <w:szCs w:val="18"/>
              </w:rPr>
              <w:t>3</w:t>
            </w:r>
          </w:p>
        </w:tc>
        <w:tc>
          <w:tcPr>
            <w:tcW w:w="627" w:type="dxa"/>
            <w:tcBorders>
              <w:left w:val="single" w:sz="4" w:space="0" w:color="auto"/>
              <w:right w:val="single" w:sz="4" w:space="0" w:color="auto"/>
            </w:tcBorders>
            <w:shd w:val="clear" w:color="auto" w:fill="FFFFFF" w:themeFill="background1"/>
          </w:tcPr>
          <w:p w:rsidR="002A4EEE" w:rsidRPr="002A4EEE" w:rsidRDefault="002A4EEE" w:rsidP="002A4EEE">
            <w:pPr>
              <w:pStyle w:val="Tabellinnehllvnster"/>
              <w:rPr>
                <w:rFonts w:cs="Arial"/>
                <w:sz w:val="18"/>
                <w:szCs w:val="18"/>
              </w:rPr>
            </w:pPr>
            <w:r w:rsidRPr="002A4EEE">
              <w:rPr>
                <w:rFonts w:cs="Arial"/>
                <w:sz w:val="18"/>
                <w:szCs w:val="18"/>
              </w:rPr>
              <w:t>1</w:t>
            </w:r>
          </w:p>
        </w:tc>
        <w:tc>
          <w:tcPr>
            <w:tcW w:w="627" w:type="dxa"/>
            <w:tcBorders>
              <w:left w:val="single" w:sz="4" w:space="0" w:color="auto"/>
              <w:right w:val="single" w:sz="4" w:space="0" w:color="auto"/>
            </w:tcBorders>
            <w:shd w:val="clear" w:color="auto" w:fill="FFFFFF" w:themeFill="background1"/>
          </w:tcPr>
          <w:p w:rsidR="002A4EEE" w:rsidRPr="002A4EEE" w:rsidRDefault="002A4EEE" w:rsidP="002A4EEE">
            <w:pPr>
              <w:pStyle w:val="Tabellinnehllvnster"/>
              <w:rPr>
                <w:rFonts w:cs="Arial"/>
                <w:sz w:val="18"/>
                <w:szCs w:val="18"/>
              </w:rPr>
            </w:pPr>
            <w:r w:rsidRPr="002A4EEE">
              <w:rPr>
                <w:rFonts w:cs="Arial"/>
                <w:sz w:val="18"/>
                <w:szCs w:val="18"/>
              </w:rPr>
              <w:t>1</w:t>
            </w:r>
          </w:p>
        </w:tc>
        <w:tc>
          <w:tcPr>
            <w:tcW w:w="627" w:type="dxa"/>
            <w:tcBorders>
              <w:left w:val="single" w:sz="4" w:space="0" w:color="auto"/>
              <w:right w:val="single" w:sz="4" w:space="0" w:color="auto"/>
            </w:tcBorders>
            <w:shd w:val="clear" w:color="auto" w:fill="FFFFFF" w:themeFill="background1"/>
          </w:tcPr>
          <w:p w:rsidR="002A4EEE" w:rsidRPr="002A4EEE" w:rsidRDefault="002A4EEE" w:rsidP="002A4EEE">
            <w:pPr>
              <w:pStyle w:val="Tabellinnehllvnster"/>
              <w:rPr>
                <w:rFonts w:cs="Arial"/>
                <w:sz w:val="18"/>
                <w:szCs w:val="18"/>
              </w:rPr>
            </w:pPr>
            <w:r w:rsidRPr="002A4EEE">
              <w:rPr>
                <w:rFonts w:cs="Arial"/>
                <w:sz w:val="18"/>
                <w:szCs w:val="18"/>
              </w:rPr>
              <w:t>2</w:t>
            </w:r>
          </w:p>
        </w:tc>
        <w:tc>
          <w:tcPr>
            <w:tcW w:w="627" w:type="dxa"/>
            <w:tcBorders>
              <w:left w:val="single" w:sz="4" w:space="0" w:color="auto"/>
              <w:right w:val="single" w:sz="4" w:space="0" w:color="auto"/>
            </w:tcBorders>
            <w:shd w:val="clear" w:color="auto" w:fill="FFFFFF" w:themeFill="background1"/>
          </w:tcPr>
          <w:p w:rsidR="002A4EEE" w:rsidRPr="002A4EEE" w:rsidRDefault="002A4EEE" w:rsidP="002A4EEE">
            <w:pPr>
              <w:pStyle w:val="Tabellinnehllvnster"/>
              <w:rPr>
                <w:rFonts w:cs="Arial"/>
                <w:sz w:val="18"/>
                <w:szCs w:val="18"/>
              </w:rPr>
            </w:pPr>
            <w:r w:rsidRPr="002A4EEE">
              <w:rPr>
                <w:rFonts w:cs="Arial"/>
                <w:sz w:val="18"/>
                <w:szCs w:val="18"/>
              </w:rPr>
              <w:t>--</w:t>
            </w:r>
          </w:p>
        </w:tc>
        <w:tc>
          <w:tcPr>
            <w:tcW w:w="627" w:type="dxa"/>
            <w:tcBorders>
              <w:left w:val="single" w:sz="4" w:space="0" w:color="auto"/>
              <w:right w:val="single" w:sz="4" w:space="0" w:color="auto"/>
            </w:tcBorders>
            <w:shd w:val="clear" w:color="auto" w:fill="FFFFFF" w:themeFill="background1"/>
          </w:tcPr>
          <w:p w:rsidR="002A4EEE" w:rsidRPr="002A4EEE" w:rsidRDefault="002A4EEE" w:rsidP="002A4EEE">
            <w:pPr>
              <w:pStyle w:val="Tabellinnehllvnster"/>
              <w:rPr>
                <w:rFonts w:cs="Arial"/>
                <w:sz w:val="18"/>
                <w:szCs w:val="18"/>
              </w:rPr>
            </w:pPr>
            <w:r w:rsidRPr="002A4EEE">
              <w:rPr>
                <w:rFonts w:cs="Arial"/>
                <w:sz w:val="18"/>
                <w:szCs w:val="18"/>
              </w:rPr>
              <w:t>2</w:t>
            </w:r>
          </w:p>
        </w:tc>
        <w:tc>
          <w:tcPr>
            <w:tcW w:w="628" w:type="dxa"/>
            <w:tcBorders>
              <w:left w:val="single" w:sz="4" w:space="0" w:color="auto"/>
              <w:right w:val="single" w:sz="4" w:space="0" w:color="auto"/>
            </w:tcBorders>
            <w:shd w:val="clear" w:color="auto" w:fill="FFFFFF" w:themeFill="background1"/>
          </w:tcPr>
          <w:p w:rsidR="002A4EEE" w:rsidRPr="002A4EEE" w:rsidRDefault="00552AB2" w:rsidP="002A4EEE">
            <w:pPr>
              <w:pStyle w:val="Tabellinnehllvnster"/>
              <w:rPr>
                <w:rFonts w:cs="Arial"/>
                <w:sz w:val="18"/>
                <w:szCs w:val="18"/>
              </w:rPr>
            </w:pPr>
            <w:r>
              <w:rPr>
                <w:rFonts w:cs="Arial"/>
                <w:sz w:val="18"/>
                <w:szCs w:val="18"/>
              </w:rPr>
              <w:t>--</w:t>
            </w:r>
          </w:p>
        </w:tc>
      </w:tr>
      <w:tr w:rsidR="002A4EEE" w:rsidTr="00552AB2">
        <w:tc>
          <w:tcPr>
            <w:tcW w:w="2469" w:type="dxa"/>
            <w:gridSpan w:val="3"/>
            <w:tcBorders>
              <w:left w:val="single" w:sz="4" w:space="0" w:color="auto"/>
              <w:right w:val="single" w:sz="4" w:space="0" w:color="auto"/>
            </w:tcBorders>
            <w:shd w:val="clear" w:color="auto" w:fill="FDE9D9" w:themeFill="accent6" w:themeFillTint="33"/>
          </w:tcPr>
          <w:p w:rsidR="002A4EEE" w:rsidRPr="002A4EEE" w:rsidRDefault="002A4EEE" w:rsidP="002A4EEE">
            <w:pPr>
              <w:pStyle w:val="Tabellinnehllvnster"/>
              <w:rPr>
                <w:rFonts w:cs="Arial"/>
                <w:b/>
                <w:sz w:val="18"/>
                <w:szCs w:val="18"/>
              </w:rPr>
            </w:pPr>
            <w:r w:rsidRPr="002A4EEE">
              <w:rPr>
                <w:rFonts w:cs="Arial"/>
                <w:b/>
                <w:sz w:val="18"/>
                <w:szCs w:val="18"/>
              </w:rPr>
              <w:t>SAC</w:t>
            </w:r>
          </w:p>
        </w:tc>
        <w:tc>
          <w:tcPr>
            <w:tcW w:w="626" w:type="dxa"/>
            <w:gridSpan w:val="2"/>
            <w:tcBorders>
              <w:left w:val="single" w:sz="4" w:space="0" w:color="auto"/>
              <w:right w:val="single" w:sz="4" w:space="0" w:color="auto"/>
            </w:tcBorders>
            <w:shd w:val="clear" w:color="auto" w:fill="FDE9D9" w:themeFill="accent6" w:themeFillTint="33"/>
          </w:tcPr>
          <w:p w:rsidR="002A4EEE" w:rsidRPr="002A4EEE" w:rsidRDefault="002A4EEE" w:rsidP="002A4EEE">
            <w:pPr>
              <w:pStyle w:val="Tabellinnehllvnster"/>
              <w:rPr>
                <w:rFonts w:cs="Arial"/>
                <w:sz w:val="18"/>
                <w:szCs w:val="18"/>
              </w:rPr>
            </w:pPr>
            <w:r w:rsidRPr="002A4EEE">
              <w:rPr>
                <w:rFonts w:cs="Arial"/>
                <w:sz w:val="18"/>
                <w:szCs w:val="18"/>
              </w:rPr>
              <w:t>15</w:t>
            </w:r>
          </w:p>
        </w:tc>
        <w:tc>
          <w:tcPr>
            <w:tcW w:w="626" w:type="dxa"/>
            <w:tcBorders>
              <w:left w:val="single" w:sz="4" w:space="0" w:color="auto"/>
              <w:right w:val="single" w:sz="4" w:space="0" w:color="auto"/>
            </w:tcBorders>
            <w:shd w:val="clear" w:color="auto" w:fill="FDE9D9" w:themeFill="accent6" w:themeFillTint="33"/>
          </w:tcPr>
          <w:p w:rsidR="002A4EEE" w:rsidRPr="002A4EEE" w:rsidRDefault="002A4EEE" w:rsidP="002A4EEE">
            <w:pPr>
              <w:pStyle w:val="Tabellinnehllvnster"/>
              <w:rPr>
                <w:rFonts w:cs="Arial"/>
                <w:sz w:val="18"/>
                <w:szCs w:val="18"/>
              </w:rPr>
            </w:pPr>
            <w:r w:rsidRPr="002A4EEE">
              <w:rPr>
                <w:rFonts w:cs="Arial"/>
                <w:sz w:val="18"/>
                <w:szCs w:val="18"/>
              </w:rPr>
              <w:t>36</w:t>
            </w:r>
          </w:p>
        </w:tc>
        <w:tc>
          <w:tcPr>
            <w:tcW w:w="627" w:type="dxa"/>
            <w:tcBorders>
              <w:left w:val="single" w:sz="4" w:space="0" w:color="auto"/>
              <w:right w:val="single" w:sz="4" w:space="0" w:color="auto"/>
            </w:tcBorders>
            <w:shd w:val="clear" w:color="auto" w:fill="FDE9D9" w:themeFill="accent6" w:themeFillTint="33"/>
          </w:tcPr>
          <w:p w:rsidR="002A4EEE" w:rsidRPr="002A4EEE" w:rsidRDefault="002A4EEE" w:rsidP="002A4EEE">
            <w:pPr>
              <w:pStyle w:val="Tabellinnehllvnster"/>
              <w:rPr>
                <w:rFonts w:cs="Arial"/>
                <w:sz w:val="18"/>
                <w:szCs w:val="18"/>
              </w:rPr>
            </w:pPr>
            <w:r w:rsidRPr="002A4EEE">
              <w:rPr>
                <w:rFonts w:cs="Arial"/>
                <w:sz w:val="18"/>
                <w:szCs w:val="18"/>
              </w:rPr>
              <w:t>37</w:t>
            </w:r>
          </w:p>
        </w:tc>
        <w:tc>
          <w:tcPr>
            <w:tcW w:w="627" w:type="dxa"/>
            <w:tcBorders>
              <w:left w:val="single" w:sz="4" w:space="0" w:color="auto"/>
              <w:right w:val="single" w:sz="4" w:space="0" w:color="auto"/>
            </w:tcBorders>
            <w:shd w:val="clear" w:color="auto" w:fill="FDE9D9" w:themeFill="accent6" w:themeFillTint="33"/>
          </w:tcPr>
          <w:p w:rsidR="002A4EEE" w:rsidRPr="002A4EEE" w:rsidRDefault="002A4EEE" w:rsidP="002A4EEE">
            <w:pPr>
              <w:pStyle w:val="Tabellinnehllvnster"/>
              <w:rPr>
                <w:rFonts w:cs="Arial"/>
                <w:sz w:val="18"/>
                <w:szCs w:val="18"/>
              </w:rPr>
            </w:pPr>
            <w:r w:rsidRPr="002A4EEE">
              <w:rPr>
                <w:rFonts w:cs="Arial"/>
                <w:sz w:val="18"/>
                <w:szCs w:val="18"/>
              </w:rPr>
              <w:t>55</w:t>
            </w:r>
          </w:p>
        </w:tc>
        <w:tc>
          <w:tcPr>
            <w:tcW w:w="627" w:type="dxa"/>
            <w:tcBorders>
              <w:left w:val="single" w:sz="4" w:space="0" w:color="auto"/>
              <w:right w:val="single" w:sz="4" w:space="0" w:color="auto"/>
            </w:tcBorders>
            <w:shd w:val="clear" w:color="auto" w:fill="FDE9D9" w:themeFill="accent6" w:themeFillTint="33"/>
          </w:tcPr>
          <w:p w:rsidR="002A4EEE" w:rsidRPr="002A4EEE" w:rsidRDefault="002A4EEE" w:rsidP="002A4EEE">
            <w:pPr>
              <w:pStyle w:val="Tabellinnehllvnster"/>
              <w:rPr>
                <w:rFonts w:cs="Arial"/>
                <w:sz w:val="18"/>
                <w:szCs w:val="18"/>
              </w:rPr>
            </w:pPr>
            <w:r w:rsidRPr="002A4EEE">
              <w:rPr>
                <w:rFonts w:cs="Arial"/>
                <w:sz w:val="18"/>
                <w:szCs w:val="18"/>
              </w:rPr>
              <w:t>45</w:t>
            </w:r>
          </w:p>
        </w:tc>
        <w:tc>
          <w:tcPr>
            <w:tcW w:w="627" w:type="dxa"/>
            <w:tcBorders>
              <w:left w:val="single" w:sz="4" w:space="0" w:color="auto"/>
              <w:right w:val="single" w:sz="4" w:space="0" w:color="auto"/>
            </w:tcBorders>
            <w:shd w:val="clear" w:color="auto" w:fill="FDE9D9" w:themeFill="accent6" w:themeFillTint="33"/>
          </w:tcPr>
          <w:p w:rsidR="002A4EEE" w:rsidRPr="002A4EEE" w:rsidRDefault="002A4EEE" w:rsidP="002A4EEE">
            <w:pPr>
              <w:pStyle w:val="Tabellinnehllvnster"/>
              <w:rPr>
                <w:rFonts w:cs="Arial"/>
                <w:sz w:val="18"/>
                <w:szCs w:val="18"/>
              </w:rPr>
            </w:pPr>
            <w:r w:rsidRPr="002A4EEE">
              <w:rPr>
                <w:rFonts w:cs="Arial"/>
                <w:sz w:val="18"/>
                <w:szCs w:val="18"/>
              </w:rPr>
              <w:t>45</w:t>
            </w:r>
          </w:p>
        </w:tc>
        <w:tc>
          <w:tcPr>
            <w:tcW w:w="627" w:type="dxa"/>
            <w:tcBorders>
              <w:left w:val="single" w:sz="4" w:space="0" w:color="auto"/>
              <w:right w:val="single" w:sz="4" w:space="0" w:color="auto"/>
            </w:tcBorders>
            <w:shd w:val="clear" w:color="auto" w:fill="FDE9D9" w:themeFill="accent6" w:themeFillTint="33"/>
          </w:tcPr>
          <w:p w:rsidR="002A4EEE" w:rsidRPr="002A4EEE" w:rsidRDefault="002A4EEE" w:rsidP="002A4EEE">
            <w:pPr>
              <w:pStyle w:val="Tabellinnehllvnster"/>
              <w:rPr>
                <w:rFonts w:cs="Arial"/>
                <w:sz w:val="18"/>
                <w:szCs w:val="18"/>
              </w:rPr>
            </w:pPr>
            <w:r w:rsidRPr="002A4EEE">
              <w:rPr>
                <w:rFonts w:cs="Arial"/>
                <w:sz w:val="18"/>
                <w:szCs w:val="18"/>
              </w:rPr>
              <w:t>33</w:t>
            </w:r>
          </w:p>
        </w:tc>
        <w:tc>
          <w:tcPr>
            <w:tcW w:w="628" w:type="dxa"/>
            <w:tcBorders>
              <w:left w:val="single" w:sz="4" w:space="0" w:color="auto"/>
              <w:right w:val="single" w:sz="4" w:space="0" w:color="auto"/>
            </w:tcBorders>
            <w:shd w:val="clear" w:color="auto" w:fill="FDE9D9" w:themeFill="accent6" w:themeFillTint="33"/>
          </w:tcPr>
          <w:p w:rsidR="002A4EEE" w:rsidRPr="002A4EEE" w:rsidRDefault="002A4EEE" w:rsidP="002A4EEE">
            <w:pPr>
              <w:pStyle w:val="Tabellinnehllvnster"/>
              <w:rPr>
                <w:rFonts w:cs="Arial"/>
                <w:sz w:val="18"/>
                <w:szCs w:val="18"/>
              </w:rPr>
            </w:pPr>
            <w:r w:rsidRPr="002A4EEE">
              <w:rPr>
                <w:rFonts w:cs="Arial"/>
                <w:sz w:val="18"/>
                <w:szCs w:val="18"/>
              </w:rPr>
              <w:t>15</w:t>
            </w:r>
          </w:p>
        </w:tc>
      </w:tr>
      <w:tr w:rsidR="002A4EEE" w:rsidRPr="004067DF" w:rsidTr="00552AB2">
        <w:tc>
          <w:tcPr>
            <w:tcW w:w="2469" w:type="dxa"/>
            <w:gridSpan w:val="3"/>
            <w:tcBorders>
              <w:left w:val="single" w:sz="4" w:space="0" w:color="auto"/>
              <w:right w:val="single" w:sz="4" w:space="0" w:color="auto"/>
            </w:tcBorders>
          </w:tcPr>
          <w:p w:rsidR="002A4EEE" w:rsidRPr="002A4EEE" w:rsidRDefault="002A4EEE" w:rsidP="002A4EEE">
            <w:pPr>
              <w:pStyle w:val="Tabellinnehllvnster"/>
              <w:rPr>
                <w:rFonts w:cs="Arial"/>
                <w:b/>
                <w:sz w:val="18"/>
                <w:szCs w:val="18"/>
              </w:rPr>
            </w:pPr>
            <w:r w:rsidRPr="002A4EEE">
              <w:rPr>
                <w:rFonts w:cs="Arial"/>
                <w:b/>
                <w:sz w:val="18"/>
                <w:szCs w:val="18"/>
              </w:rPr>
              <w:t>Övriga ärenden**</w:t>
            </w:r>
          </w:p>
        </w:tc>
        <w:tc>
          <w:tcPr>
            <w:tcW w:w="626" w:type="dxa"/>
            <w:gridSpan w:val="2"/>
            <w:tcBorders>
              <w:left w:val="single" w:sz="4" w:space="0" w:color="auto"/>
              <w:right w:val="single" w:sz="4" w:space="0" w:color="auto"/>
            </w:tcBorders>
          </w:tcPr>
          <w:p w:rsidR="002A4EEE" w:rsidRPr="002A4EEE" w:rsidRDefault="002A4EEE" w:rsidP="002A4EEE">
            <w:pPr>
              <w:pStyle w:val="Tabellinnehllvnster"/>
              <w:rPr>
                <w:rFonts w:cs="Arial"/>
                <w:sz w:val="18"/>
                <w:szCs w:val="18"/>
              </w:rPr>
            </w:pPr>
            <w:r w:rsidRPr="002A4EEE">
              <w:rPr>
                <w:rFonts w:cs="Arial"/>
                <w:sz w:val="18"/>
                <w:szCs w:val="18"/>
              </w:rPr>
              <w:t>--</w:t>
            </w:r>
          </w:p>
        </w:tc>
        <w:tc>
          <w:tcPr>
            <w:tcW w:w="626" w:type="dxa"/>
            <w:tcBorders>
              <w:left w:val="single" w:sz="4" w:space="0" w:color="auto"/>
              <w:right w:val="single" w:sz="4" w:space="0" w:color="auto"/>
            </w:tcBorders>
          </w:tcPr>
          <w:p w:rsidR="002A4EEE" w:rsidRPr="002A4EEE" w:rsidRDefault="002A4EEE" w:rsidP="002A4EEE">
            <w:pPr>
              <w:pStyle w:val="Tabellinnehllvnster"/>
              <w:rPr>
                <w:rFonts w:cs="Arial"/>
                <w:sz w:val="18"/>
                <w:szCs w:val="18"/>
              </w:rPr>
            </w:pPr>
            <w:r w:rsidRPr="002A4EEE">
              <w:rPr>
                <w:rFonts w:cs="Arial"/>
                <w:sz w:val="18"/>
                <w:szCs w:val="18"/>
              </w:rPr>
              <w:t>--</w:t>
            </w:r>
          </w:p>
        </w:tc>
        <w:tc>
          <w:tcPr>
            <w:tcW w:w="627" w:type="dxa"/>
            <w:tcBorders>
              <w:left w:val="single" w:sz="4" w:space="0" w:color="auto"/>
              <w:right w:val="single" w:sz="4" w:space="0" w:color="auto"/>
            </w:tcBorders>
          </w:tcPr>
          <w:p w:rsidR="002A4EEE" w:rsidRPr="002A4EEE" w:rsidRDefault="002A4EEE" w:rsidP="002A4EEE">
            <w:pPr>
              <w:pStyle w:val="Tabellinnehllvnster"/>
              <w:rPr>
                <w:rFonts w:cs="Arial"/>
                <w:sz w:val="18"/>
                <w:szCs w:val="18"/>
              </w:rPr>
            </w:pPr>
            <w:r w:rsidRPr="002A4EEE">
              <w:rPr>
                <w:rFonts w:cs="Arial"/>
                <w:sz w:val="18"/>
                <w:szCs w:val="18"/>
              </w:rPr>
              <w:t>2</w:t>
            </w:r>
          </w:p>
        </w:tc>
        <w:tc>
          <w:tcPr>
            <w:tcW w:w="627" w:type="dxa"/>
            <w:tcBorders>
              <w:left w:val="single" w:sz="4" w:space="0" w:color="auto"/>
              <w:right w:val="single" w:sz="4" w:space="0" w:color="auto"/>
            </w:tcBorders>
          </w:tcPr>
          <w:p w:rsidR="002A4EEE" w:rsidRPr="002A4EEE" w:rsidRDefault="002A4EEE" w:rsidP="002A4EEE">
            <w:pPr>
              <w:pStyle w:val="Tabellinnehllvnster"/>
              <w:rPr>
                <w:rFonts w:cs="Arial"/>
                <w:sz w:val="18"/>
                <w:szCs w:val="18"/>
              </w:rPr>
            </w:pPr>
            <w:r w:rsidRPr="002A4EEE">
              <w:rPr>
                <w:rFonts w:cs="Arial"/>
                <w:sz w:val="18"/>
                <w:szCs w:val="18"/>
              </w:rPr>
              <w:t>--</w:t>
            </w:r>
          </w:p>
        </w:tc>
        <w:tc>
          <w:tcPr>
            <w:tcW w:w="627" w:type="dxa"/>
            <w:tcBorders>
              <w:left w:val="single" w:sz="4" w:space="0" w:color="auto"/>
              <w:right w:val="single" w:sz="4" w:space="0" w:color="auto"/>
            </w:tcBorders>
          </w:tcPr>
          <w:p w:rsidR="002A4EEE" w:rsidRPr="002A4EEE" w:rsidRDefault="002A4EEE" w:rsidP="002A4EEE">
            <w:pPr>
              <w:pStyle w:val="Tabellinnehllvnster"/>
              <w:rPr>
                <w:rFonts w:cs="Arial"/>
                <w:sz w:val="18"/>
                <w:szCs w:val="18"/>
              </w:rPr>
            </w:pPr>
            <w:r w:rsidRPr="002A4EEE">
              <w:rPr>
                <w:rFonts w:cs="Arial"/>
                <w:sz w:val="18"/>
                <w:szCs w:val="18"/>
              </w:rPr>
              <w:t>5</w:t>
            </w:r>
          </w:p>
        </w:tc>
        <w:tc>
          <w:tcPr>
            <w:tcW w:w="627" w:type="dxa"/>
            <w:tcBorders>
              <w:left w:val="single" w:sz="4" w:space="0" w:color="auto"/>
              <w:right w:val="single" w:sz="4" w:space="0" w:color="auto"/>
            </w:tcBorders>
          </w:tcPr>
          <w:p w:rsidR="002A4EEE" w:rsidRPr="002A4EEE" w:rsidRDefault="002A4EEE" w:rsidP="002A4EEE">
            <w:pPr>
              <w:pStyle w:val="Tabellinnehllvnster"/>
              <w:rPr>
                <w:rFonts w:cs="Arial"/>
                <w:sz w:val="18"/>
                <w:szCs w:val="18"/>
              </w:rPr>
            </w:pPr>
            <w:r w:rsidRPr="002A4EEE">
              <w:rPr>
                <w:rFonts w:cs="Arial"/>
                <w:sz w:val="18"/>
                <w:szCs w:val="18"/>
              </w:rPr>
              <w:t>--</w:t>
            </w:r>
          </w:p>
        </w:tc>
        <w:tc>
          <w:tcPr>
            <w:tcW w:w="627" w:type="dxa"/>
            <w:tcBorders>
              <w:left w:val="single" w:sz="4" w:space="0" w:color="auto"/>
              <w:right w:val="single" w:sz="4" w:space="0" w:color="auto"/>
            </w:tcBorders>
          </w:tcPr>
          <w:p w:rsidR="002A4EEE" w:rsidRPr="002A4EEE" w:rsidRDefault="002A4EEE" w:rsidP="002A4EEE">
            <w:pPr>
              <w:pStyle w:val="Tabellinnehllvnster"/>
              <w:rPr>
                <w:rFonts w:cs="Arial"/>
                <w:sz w:val="18"/>
                <w:szCs w:val="18"/>
                <w:lang w:val="sv-SE"/>
              </w:rPr>
            </w:pPr>
            <w:r w:rsidRPr="002A4EEE">
              <w:rPr>
                <w:rFonts w:cs="Arial"/>
                <w:sz w:val="18"/>
                <w:szCs w:val="18"/>
                <w:lang w:val="sv-SE"/>
              </w:rPr>
              <w:t>1</w:t>
            </w:r>
          </w:p>
        </w:tc>
        <w:tc>
          <w:tcPr>
            <w:tcW w:w="628" w:type="dxa"/>
            <w:tcBorders>
              <w:left w:val="single" w:sz="4" w:space="0" w:color="auto"/>
              <w:right w:val="single" w:sz="4" w:space="0" w:color="auto"/>
            </w:tcBorders>
          </w:tcPr>
          <w:p w:rsidR="002A4EEE" w:rsidRPr="002A4EEE" w:rsidRDefault="00552AB2" w:rsidP="002A4EEE">
            <w:pPr>
              <w:pStyle w:val="Tabellinnehllvnster"/>
              <w:rPr>
                <w:rFonts w:cs="Arial"/>
                <w:sz w:val="18"/>
                <w:szCs w:val="18"/>
                <w:lang w:val="sv-SE"/>
              </w:rPr>
            </w:pPr>
            <w:r>
              <w:rPr>
                <w:rFonts w:cs="Arial"/>
                <w:sz w:val="18"/>
                <w:szCs w:val="18"/>
                <w:lang w:val="sv-SE"/>
              </w:rPr>
              <w:t>--</w:t>
            </w:r>
          </w:p>
        </w:tc>
      </w:tr>
      <w:tr w:rsidR="002A4EEE" w:rsidRPr="004067DF" w:rsidTr="00552AB2">
        <w:tc>
          <w:tcPr>
            <w:tcW w:w="2469" w:type="dxa"/>
            <w:gridSpan w:val="3"/>
            <w:tcBorders>
              <w:left w:val="single" w:sz="4" w:space="0" w:color="auto"/>
              <w:bottom w:val="single" w:sz="4" w:space="0" w:color="auto"/>
              <w:right w:val="single" w:sz="4" w:space="0" w:color="auto"/>
            </w:tcBorders>
            <w:shd w:val="clear" w:color="auto" w:fill="FDE9D9" w:themeFill="accent6" w:themeFillTint="33"/>
          </w:tcPr>
          <w:p w:rsidR="002A4EEE" w:rsidRPr="002A4EEE" w:rsidRDefault="002A4EEE" w:rsidP="002A4EEE">
            <w:pPr>
              <w:pStyle w:val="Tabellinnehllvnster"/>
              <w:rPr>
                <w:rFonts w:cs="Arial"/>
                <w:b/>
                <w:sz w:val="18"/>
                <w:szCs w:val="18"/>
                <w:lang w:val="sv-SE"/>
              </w:rPr>
            </w:pPr>
            <w:r w:rsidRPr="002A4EEE">
              <w:rPr>
                <w:rFonts w:cs="Arial"/>
                <w:b/>
                <w:sz w:val="18"/>
                <w:szCs w:val="18"/>
                <w:lang w:val="sv-SE"/>
              </w:rPr>
              <w:t>TOTALT</w:t>
            </w:r>
          </w:p>
        </w:tc>
        <w:tc>
          <w:tcPr>
            <w:tcW w:w="626" w:type="dxa"/>
            <w:gridSpan w:val="2"/>
            <w:tcBorders>
              <w:left w:val="single" w:sz="4" w:space="0" w:color="auto"/>
              <w:bottom w:val="single" w:sz="4" w:space="0" w:color="auto"/>
              <w:right w:val="single" w:sz="4" w:space="0" w:color="auto"/>
            </w:tcBorders>
            <w:shd w:val="clear" w:color="auto" w:fill="FDE9D9" w:themeFill="accent6" w:themeFillTint="33"/>
          </w:tcPr>
          <w:p w:rsidR="002A4EEE" w:rsidRPr="002A4EEE" w:rsidRDefault="002A4EEE" w:rsidP="002A4EEE">
            <w:pPr>
              <w:pStyle w:val="Tabellinnehllvnster"/>
              <w:rPr>
                <w:rFonts w:cs="Arial"/>
                <w:b/>
                <w:sz w:val="18"/>
                <w:szCs w:val="18"/>
                <w:lang w:val="sv-SE"/>
              </w:rPr>
            </w:pPr>
            <w:r w:rsidRPr="002A4EEE">
              <w:rPr>
                <w:rFonts w:cs="Arial"/>
                <w:b/>
                <w:sz w:val="18"/>
                <w:szCs w:val="18"/>
                <w:lang w:val="sv-SE"/>
              </w:rPr>
              <w:t>70</w:t>
            </w:r>
          </w:p>
        </w:tc>
        <w:tc>
          <w:tcPr>
            <w:tcW w:w="627" w:type="dxa"/>
            <w:tcBorders>
              <w:left w:val="single" w:sz="4" w:space="0" w:color="auto"/>
              <w:bottom w:val="single" w:sz="4" w:space="0" w:color="auto"/>
              <w:right w:val="single" w:sz="4" w:space="0" w:color="auto"/>
            </w:tcBorders>
            <w:shd w:val="clear" w:color="auto" w:fill="FDE9D9" w:themeFill="accent6" w:themeFillTint="33"/>
          </w:tcPr>
          <w:p w:rsidR="002A4EEE" w:rsidRPr="002A4EEE" w:rsidRDefault="002A4EEE" w:rsidP="002A4EEE">
            <w:pPr>
              <w:pStyle w:val="Tabellinnehllvnster"/>
              <w:rPr>
                <w:rFonts w:cs="Arial"/>
                <w:b/>
                <w:sz w:val="18"/>
                <w:szCs w:val="18"/>
                <w:lang w:val="sv-SE"/>
              </w:rPr>
            </w:pPr>
            <w:r w:rsidRPr="002A4EEE">
              <w:rPr>
                <w:rFonts w:cs="Arial"/>
                <w:b/>
                <w:sz w:val="18"/>
                <w:szCs w:val="18"/>
                <w:lang w:val="sv-SE"/>
              </w:rPr>
              <w:t>138</w:t>
            </w:r>
          </w:p>
        </w:tc>
        <w:tc>
          <w:tcPr>
            <w:tcW w:w="627" w:type="dxa"/>
            <w:tcBorders>
              <w:left w:val="single" w:sz="4" w:space="0" w:color="auto"/>
              <w:bottom w:val="single" w:sz="4" w:space="0" w:color="auto"/>
              <w:right w:val="single" w:sz="4" w:space="0" w:color="auto"/>
            </w:tcBorders>
            <w:shd w:val="clear" w:color="auto" w:fill="FDE9D9" w:themeFill="accent6" w:themeFillTint="33"/>
          </w:tcPr>
          <w:p w:rsidR="002A4EEE" w:rsidRPr="002A4EEE" w:rsidRDefault="002A4EEE" w:rsidP="002A4EEE">
            <w:pPr>
              <w:pStyle w:val="Tabellinnehllvnster"/>
              <w:rPr>
                <w:rFonts w:cs="Arial"/>
                <w:b/>
                <w:sz w:val="18"/>
                <w:szCs w:val="18"/>
                <w:lang w:val="sv-SE"/>
              </w:rPr>
            </w:pPr>
            <w:r w:rsidRPr="002A4EEE">
              <w:rPr>
                <w:rFonts w:cs="Arial"/>
                <w:b/>
                <w:sz w:val="18"/>
                <w:szCs w:val="18"/>
                <w:lang w:val="sv-SE"/>
              </w:rPr>
              <w:t>83</w:t>
            </w:r>
          </w:p>
        </w:tc>
        <w:tc>
          <w:tcPr>
            <w:tcW w:w="627" w:type="dxa"/>
            <w:tcBorders>
              <w:left w:val="single" w:sz="4" w:space="0" w:color="auto"/>
              <w:bottom w:val="single" w:sz="4" w:space="0" w:color="auto"/>
              <w:right w:val="single" w:sz="4" w:space="0" w:color="auto"/>
            </w:tcBorders>
            <w:shd w:val="clear" w:color="auto" w:fill="FDE9D9" w:themeFill="accent6" w:themeFillTint="33"/>
          </w:tcPr>
          <w:p w:rsidR="002A4EEE" w:rsidRPr="002A4EEE" w:rsidRDefault="002A4EEE" w:rsidP="002A4EEE">
            <w:pPr>
              <w:pStyle w:val="Tabellinnehllvnster"/>
              <w:rPr>
                <w:rFonts w:cs="Arial"/>
                <w:b/>
                <w:sz w:val="18"/>
                <w:szCs w:val="18"/>
                <w:lang w:val="sv-SE"/>
              </w:rPr>
            </w:pPr>
            <w:r w:rsidRPr="002A4EEE">
              <w:rPr>
                <w:rFonts w:cs="Arial"/>
                <w:b/>
                <w:sz w:val="18"/>
                <w:szCs w:val="18"/>
                <w:lang w:val="sv-SE"/>
              </w:rPr>
              <w:t>68</w:t>
            </w:r>
          </w:p>
        </w:tc>
        <w:tc>
          <w:tcPr>
            <w:tcW w:w="627" w:type="dxa"/>
            <w:tcBorders>
              <w:left w:val="single" w:sz="4" w:space="0" w:color="auto"/>
              <w:bottom w:val="single" w:sz="4" w:space="0" w:color="auto"/>
              <w:right w:val="single" w:sz="4" w:space="0" w:color="auto"/>
            </w:tcBorders>
            <w:shd w:val="clear" w:color="auto" w:fill="FDE9D9" w:themeFill="accent6" w:themeFillTint="33"/>
          </w:tcPr>
          <w:p w:rsidR="002A4EEE" w:rsidRPr="002A4EEE" w:rsidRDefault="002A4EEE" w:rsidP="002A4EEE">
            <w:pPr>
              <w:pStyle w:val="Tabellinnehllvnster"/>
              <w:rPr>
                <w:rFonts w:cs="Arial"/>
                <w:b/>
                <w:sz w:val="18"/>
                <w:szCs w:val="18"/>
                <w:lang w:val="sv-SE"/>
              </w:rPr>
            </w:pPr>
            <w:r w:rsidRPr="002A4EEE">
              <w:rPr>
                <w:rFonts w:cs="Arial"/>
                <w:b/>
                <w:sz w:val="18"/>
                <w:szCs w:val="18"/>
                <w:lang w:val="sv-SE"/>
              </w:rPr>
              <w:t>68</w:t>
            </w:r>
          </w:p>
        </w:tc>
        <w:tc>
          <w:tcPr>
            <w:tcW w:w="627" w:type="dxa"/>
            <w:tcBorders>
              <w:left w:val="single" w:sz="4" w:space="0" w:color="auto"/>
              <w:bottom w:val="single" w:sz="4" w:space="0" w:color="auto"/>
              <w:right w:val="single" w:sz="4" w:space="0" w:color="auto"/>
            </w:tcBorders>
            <w:shd w:val="clear" w:color="auto" w:fill="FDE9D9" w:themeFill="accent6" w:themeFillTint="33"/>
          </w:tcPr>
          <w:p w:rsidR="002A4EEE" w:rsidRPr="002A4EEE" w:rsidRDefault="002A4EEE" w:rsidP="002A4EEE">
            <w:pPr>
              <w:pStyle w:val="Tabellinnehllvnster"/>
              <w:rPr>
                <w:rFonts w:cs="Arial"/>
                <w:b/>
                <w:sz w:val="18"/>
                <w:szCs w:val="18"/>
                <w:lang w:val="sv-SE"/>
              </w:rPr>
            </w:pPr>
            <w:r w:rsidRPr="002A4EEE">
              <w:rPr>
                <w:rFonts w:cs="Arial"/>
                <w:b/>
                <w:sz w:val="18"/>
                <w:szCs w:val="18"/>
                <w:lang w:val="sv-SE"/>
              </w:rPr>
              <w:t>62</w:t>
            </w:r>
          </w:p>
        </w:tc>
        <w:tc>
          <w:tcPr>
            <w:tcW w:w="627" w:type="dxa"/>
            <w:tcBorders>
              <w:left w:val="single" w:sz="4" w:space="0" w:color="auto"/>
              <w:bottom w:val="single" w:sz="4" w:space="0" w:color="auto"/>
              <w:right w:val="single" w:sz="4" w:space="0" w:color="auto"/>
            </w:tcBorders>
            <w:shd w:val="clear" w:color="auto" w:fill="FDE9D9" w:themeFill="accent6" w:themeFillTint="33"/>
          </w:tcPr>
          <w:p w:rsidR="002A4EEE" w:rsidRPr="002A4EEE" w:rsidRDefault="002A4EEE" w:rsidP="002A4EEE">
            <w:pPr>
              <w:pStyle w:val="Tabellinnehllvnster"/>
              <w:rPr>
                <w:rFonts w:cs="Arial"/>
                <w:b/>
                <w:sz w:val="18"/>
                <w:szCs w:val="18"/>
                <w:lang w:val="sv-SE"/>
              </w:rPr>
            </w:pPr>
            <w:r w:rsidRPr="002A4EEE">
              <w:rPr>
                <w:rFonts w:cs="Arial"/>
                <w:b/>
                <w:sz w:val="18"/>
                <w:szCs w:val="18"/>
                <w:lang w:val="sv-SE"/>
              </w:rPr>
              <w:t>46</w:t>
            </w:r>
          </w:p>
        </w:tc>
        <w:tc>
          <w:tcPr>
            <w:tcW w:w="627" w:type="dxa"/>
            <w:tcBorders>
              <w:left w:val="single" w:sz="4" w:space="0" w:color="auto"/>
              <w:bottom w:val="single" w:sz="4" w:space="0" w:color="auto"/>
              <w:right w:val="single" w:sz="4" w:space="0" w:color="auto"/>
            </w:tcBorders>
            <w:shd w:val="clear" w:color="auto" w:fill="FDE9D9" w:themeFill="accent6" w:themeFillTint="33"/>
          </w:tcPr>
          <w:p w:rsidR="002A4EEE" w:rsidRPr="002A4EEE" w:rsidRDefault="00552AB2" w:rsidP="002A4EEE">
            <w:pPr>
              <w:pStyle w:val="Tabellinnehllvnster"/>
              <w:rPr>
                <w:rFonts w:cs="Arial"/>
                <w:b/>
                <w:sz w:val="18"/>
                <w:szCs w:val="18"/>
                <w:lang w:val="sv-SE"/>
              </w:rPr>
            </w:pPr>
            <w:r>
              <w:rPr>
                <w:rFonts w:cs="Arial"/>
                <w:b/>
                <w:sz w:val="18"/>
                <w:szCs w:val="18"/>
                <w:lang w:val="sv-SE"/>
              </w:rPr>
              <w:t>30</w:t>
            </w:r>
          </w:p>
        </w:tc>
      </w:tr>
    </w:tbl>
    <w:p w:rsidR="002A4EEE" w:rsidRDefault="002A4EEE" w:rsidP="002A4EEE"/>
    <w:p w:rsidR="002A4EEE" w:rsidRDefault="002A4EEE" w:rsidP="00AA6986">
      <w:pPr>
        <w:pStyle w:val="Rubrik3"/>
        <w:rPr>
          <w:rFonts w:ascii="Arial" w:hAnsi="Arial" w:cs="Arial"/>
          <w:b/>
          <w:bCs/>
          <w:sz w:val="36"/>
          <w:szCs w:val="36"/>
        </w:rPr>
      </w:pPr>
      <w:r>
        <w:rPr>
          <w:rFonts w:ascii="Arial" w:hAnsi="Arial" w:cs="Arial"/>
          <w:b/>
          <w:bCs/>
          <w:sz w:val="36"/>
          <w:szCs w:val="36"/>
        </w:rPr>
        <w:br w:type="page"/>
      </w:r>
    </w:p>
    <w:p w:rsidR="005621CE" w:rsidRPr="00CE067D" w:rsidRDefault="005621CE" w:rsidP="00AA6986">
      <w:pPr>
        <w:pStyle w:val="Rubrik3"/>
        <w:rPr>
          <w:rFonts w:ascii="Arial" w:hAnsi="Arial" w:cs="Arial"/>
          <w:b/>
          <w:bCs/>
          <w:sz w:val="32"/>
          <w:szCs w:val="32"/>
        </w:rPr>
      </w:pPr>
      <w:r w:rsidRPr="00CE067D">
        <w:rPr>
          <w:rFonts w:ascii="Arial" w:hAnsi="Arial" w:cs="Arial"/>
          <w:b/>
          <w:bCs/>
          <w:sz w:val="32"/>
          <w:szCs w:val="32"/>
        </w:rPr>
        <w:lastRenderedPageBreak/>
        <w:t>Bakgrund</w:t>
      </w:r>
    </w:p>
    <w:p w:rsidR="00AA6986" w:rsidRPr="00A6594D" w:rsidRDefault="00AA6986" w:rsidP="00AA6986">
      <w:pPr>
        <w:pStyle w:val="Rubrik3"/>
        <w:rPr>
          <w:b/>
          <w:bCs/>
          <w:sz w:val="28"/>
          <w:szCs w:val="28"/>
        </w:rPr>
      </w:pPr>
      <w:r w:rsidRPr="00A6594D">
        <w:rPr>
          <w:b/>
          <w:bCs/>
          <w:sz w:val="28"/>
          <w:szCs w:val="28"/>
        </w:rPr>
        <w:t>”Den svenska arbetsmarknadsmodellen</w:t>
      </w:r>
      <w:r w:rsidR="00A6594D">
        <w:rPr>
          <w:b/>
          <w:bCs/>
          <w:sz w:val="28"/>
          <w:szCs w:val="28"/>
        </w:rPr>
        <w:t>”</w:t>
      </w:r>
    </w:p>
    <w:p w:rsidR="00AA6986" w:rsidRPr="00AA6986" w:rsidRDefault="00AA6986" w:rsidP="00AA6986">
      <w:pPr>
        <w:pStyle w:val="Rubrik3"/>
        <w:rPr>
          <w:b/>
          <w:bCs/>
          <w:sz w:val="25"/>
        </w:rPr>
      </w:pPr>
      <w:r w:rsidRPr="00AA6986">
        <w:rPr>
          <w:b/>
          <w:bCs/>
          <w:sz w:val="25"/>
        </w:rPr>
        <w:t>Arbetsmarknadens parter</w:t>
      </w:r>
    </w:p>
    <w:p w:rsidR="00AA6986" w:rsidRDefault="00AA6986" w:rsidP="00AA6986">
      <w:r>
        <w:t>Det finns cirka 110 parter på den svenska arbetsmarknaden, 60 fackliga organisationer och 50 arbetsgivarorganisationer, som tillsammans tecknar 650 centrala kollektivavtal.</w:t>
      </w:r>
    </w:p>
    <w:p w:rsidR="00AA6986" w:rsidRDefault="00AA6986" w:rsidP="00AA6986">
      <w:r>
        <w:t>Merparten av de fackliga organisationerna ingår i någon av de tre centralorganisationerna – LO (Landsorganisationen med 14 förbund), Saco (Sveriges akademikers centralorganisation med 22 förbund) och TCO (Tjänstemännens centralorganisation med 16 förbund). Utanför de tre centralorganisationerna finns ett tiotal fackliga organisationer, bland annat Ledarna och Hamnarbetareförbundet</w:t>
      </w:r>
    </w:p>
    <w:p w:rsidR="00AA6986" w:rsidRDefault="00AA6986" w:rsidP="00AA6986">
      <w:r>
        <w:t>LO har en betydelsefull samordningsroll vid centrala förhandlingar även om den under avtalsrörelsen 2012 inte omfattat samtliga förbund. Saco och TCO har inte partsställning i avtal och har heller ingen direkt roll vid avtalsförhandlingar.</w:t>
      </w:r>
    </w:p>
    <w:p w:rsidR="00AA6986" w:rsidRDefault="00AA6986" w:rsidP="00AA6986">
      <w:r>
        <w:t>Fackförbunden kan också vara medlemmar i andra samarbetsorgan, till exempel:</w:t>
      </w:r>
    </w:p>
    <w:p w:rsidR="00AA6986" w:rsidRPr="007341EC" w:rsidRDefault="00AA6986" w:rsidP="007341EC">
      <w:pPr>
        <w:pStyle w:val="Liststycke"/>
        <w:numPr>
          <w:ilvl w:val="0"/>
          <w:numId w:val="6"/>
        </w:numPr>
      </w:pPr>
      <w:r>
        <w:t xml:space="preserve">Akademikeralliansen (17 </w:t>
      </w:r>
      <w:proofErr w:type="spellStart"/>
      <w:r>
        <w:t>Saco-förbund</w:t>
      </w:r>
      <w:proofErr w:type="spellEnd"/>
      <w:r>
        <w:t xml:space="preserve">) inom kommuner och landsting </w:t>
      </w:r>
    </w:p>
    <w:p w:rsidR="00AA6986" w:rsidRPr="007341EC" w:rsidRDefault="00AA6986" w:rsidP="007341EC">
      <w:pPr>
        <w:pStyle w:val="Liststycke"/>
        <w:numPr>
          <w:ilvl w:val="0"/>
          <w:numId w:val="6"/>
        </w:numPr>
      </w:pPr>
      <w:r>
        <w:t>Facken inom industrin (GS Facket för skogs-, trä- och grafisk bransch, IF Metall, Livsmedelsarbetareförbundet, Sveriges Ingenjörer och Unionen) som är parter inom Industriavtalet; en plattform inför och under förhandlingarna</w:t>
      </w:r>
    </w:p>
    <w:p w:rsidR="007341EC" w:rsidRPr="007341EC" w:rsidRDefault="007341EC" w:rsidP="007341EC">
      <w:pPr>
        <w:pStyle w:val="Liststycke"/>
        <w:numPr>
          <w:ilvl w:val="0"/>
          <w:numId w:val="6"/>
        </w:numPr>
        <w:tabs>
          <w:tab w:val="num" w:pos="720"/>
        </w:tabs>
      </w:pPr>
      <w:r>
        <w:t>6F, Fackförbund i samverkan (Byggnads, Elektrikerna, Fastighets, Målarna, SEKO Facket för Kommunikation och Service samt Transport) som är ett relativt nybildat organ för samarbete</w:t>
      </w:r>
    </w:p>
    <w:p w:rsidR="00AA6986" w:rsidRPr="007341EC" w:rsidRDefault="00AA6986" w:rsidP="007341EC">
      <w:pPr>
        <w:pStyle w:val="Liststycke"/>
        <w:numPr>
          <w:ilvl w:val="0"/>
          <w:numId w:val="6"/>
        </w:numPr>
      </w:pPr>
      <w:r>
        <w:t>OFR, Offentliganställdas förhandlingsråd (15 förbund inom Saco och TCO samt Ledarna) inom offentlig sektor</w:t>
      </w:r>
    </w:p>
    <w:p w:rsidR="00AA6986" w:rsidRPr="007341EC" w:rsidRDefault="00AA6986" w:rsidP="007341EC">
      <w:pPr>
        <w:pStyle w:val="Liststycke"/>
        <w:numPr>
          <w:ilvl w:val="0"/>
          <w:numId w:val="6"/>
        </w:numPr>
      </w:pPr>
      <w:r>
        <w:t>PTK, Privattjänstemannakartellen (25 förbund inom Saco och TCO samt Ledarna) inom privat sektor, främst pensioner och försäkringar</w:t>
      </w:r>
    </w:p>
    <w:p w:rsidR="00AA6986" w:rsidRPr="007341EC" w:rsidRDefault="00AA6986" w:rsidP="007341EC">
      <w:pPr>
        <w:pStyle w:val="Liststycke"/>
        <w:numPr>
          <w:ilvl w:val="0"/>
          <w:numId w:val="6"/>
        </w:numPr>
      </w:pPr>
      <w:proofErr w:type="spellStart"/>
      <w:r>
        <w:t>Saco-S</w:t>
      </w:r>
      <w:proofErr w:type="spellEnd"/>
      <w:r>
        <w:t xml:space="preserve"> (21 </w:t>
      </w:r>
      <w:proofErr w:type="spellStart"/>
      <w:r>
        <w:t>Saco-förbund</w:t>
      </w:r>
      <w:proofErr w:type="spellEnd"/>
      <w:r>
        <w:t>) inom staten</w:t>
      </w:r>
    </w:p>
    <w:p w:rsidR="00AA6986" w:rsidRDefault="00AA6986" w:rsidP="00AA6986">
      <w:r>
        <w:t>Inom Svenskt Näringsliv finns 36 arbets</w:t>
      </w:r>
      <w:r w:rsidR="00AA7AF8">
        <w:softHyphen/>
      </w:r>
      <w:r>
        <w:t>givar</w:t>
      </w:r>
      <w:r w:rsidR="00AA7AF8">
        <w:softHyphen/>
      </w:r>
      <w:r>
        <w:t>organisationer som tillsammans har medlemsföretag med 1,7 miljoner anställda. Den kommunala sektorn med 1,1 miljoner anställda representeras av SKL (Sveriges Kommuner och Landsting) och Arbetsgivarverket företräder den statliga verksamheten med 240 000 anställda. Därutöver finns ytterligare cirka 15 arbetsgivarorganisationer.</w:t>
      </w:r>
    </w:p>
    <w:p w:rsidR="00AA6986" w:rsidRDefault="00AA6986" w:rsidP="00AA6986">
      <w:pPr>
        <w:jc w:val="both"/>
      </w:pPr>
      <w:r>
        <w:t>Inom Svenskt Näringsliv finns en organiserad samverkan, bland annat. i Beredningsutskottet. Mellan de olika arbetsmarknadssektorerna finns inte något formellt samarbete.</w:t>
      </w:r>
    </w:p>
    <w:p w:rsidR="00984CF6" w:rsidRDefault="00984CF6">
      <w:pPr>
        <w:overflowPunct/>
        <w:autoSpaceDE/>
        <w:autoSpaceDN/>
        <w:adjustRightInd/>
        <w:spacing w:after="0" w:line="240" w:lineRule="auto"/>
        <w:textAlignment w:val="auto"/>
      </w:pPr>
      <w:r>
        <w:br w:type="page"/>
      </w:r>
    </w:p>
    <w:p w:rsidR="00AA6986" w:rsidRPr="00A6594D" w:rsidRDefault="00984CF6" w:rsidP="005621CE">
      <w:pPr>
        <w:pStyle w:val="Rubrik3"/>
        <w:rPr>
          <w:b/>
          <w:bCs/>
          <w:sz w:val="28"/>
          <w:szCs w:val="28"/>
        </w:rPr>
      </w:pPr>
      <w:r>
        <w:rPr>
          <w:noProof/>
          <w:lang w:eastAsia="sv-SE"/>
        </w:rPr>
        <w:lastRenderedPageBreak/>
        <w:drawing>
          <wp:anchor distT="0" distB="0" distL="114300" distR="114300" simplePos="0" relativeHeight="251674624" behindDoc="1" locked="0" layoutInCell="1" allowOverlap="1" wp14:anchorId="4180A2CC" wp14:editId="7EF24246">
            <wp:simplePos x="0" y="0"/>
            <wp:positionH relativeFrom="column">
              <wp:posOffset>177165</wp:posOffset>
            </wp:positionH>
            <wp:positionV relativeFrom="paragraph">
              <wp:posOffset>3062605</wp:posOffset>
            </wp:positionV>
            <wp:extent cx="5000625" cy="3034665"/>
            <wp:effectExtent l="0" t="0" r="9525" b="0"/>
            <wp:wrapTight wrapText="bothSides">
              <wp:wrapPolygon edited="0">
                <wp:start x="0" y="0"/>
                <wp:lineTo x="0" y="21424"/>
                <wp:lineTo x="21559" y="21424"/>
                <wp:lineTo x="21559" y="0"/>
                <wp:lineTo x="0" y="0"/>
              </wp:wrapPolygon>
            </wp:wrapTight>
            <wp:docPr id="4"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2"/>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000625" cy="3034665"/>
                    </a:xfrm>
                    <a:prstGeom prst="rect">
                      <a:avLst/>
                    </a:prstGeom>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72576" behindDoc="1" locked="0" layoutInCell="1" allowOverlap="1" wp14:anchorId="2EE5734A" wp14:editId="33849B1A">
            <wp:simplePos x="0" y="0"/>
            <wp:positionH relativeFrom="column">
              <wp:posOffset>129540</wp:posOffset>
            </wp:positionH>
            <wp:positionV relativeFrom="paragraph">
              <wp:posOffset>175895</wp:posOffset>
            </wp:positionV>
            <wp:extent cx="5048250" cy="2724150"/>
            <wp:effectExtent l="0" t="0" r="0" b="0"/>
            <wp:wrapTight wrapText="bothSides">
              <wp:wrapPolygon edited="0">
                <wp:start x="0" y="0"/>
                <wp:lineTo x="0" y="21449"/>
                <wp:lineTo x="21518" y="21449"/>
                <wp:lineTo x="21518"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1"/>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048250" cy="2724150"/>
                    </a:xfrm>
                    <a:prstGeom prst="rect">
                      <a:avLst/>
                    </a:prstGeom>
                  </pic:spPr>
                </pic:pic>
              </a:graphicData>
            </a:graphic>
            <wp14:sizeRelH relativeFrom="page">
              <wp14:pctWidth>0</wp14:pctWidth>
            </wp14:sizeRelH>
            <wp14:sizeRelV relativeFrom="page">
              <wp14:pctHeight>0</wp14:pctHeight>
            </wp14:sizeRelV>
          </wp:anchor>
        </w:drawing>
      </w:r>
      <w:r w:rsidR="00AA6986">
        <w:br w:type="page"/>
      </w:r>
      <w:r w:rsidR="00AA6986" w:rsidRPr="00A6594D">
        <w:rPr>
          <w:b/>
          <w:bCs/>
          <w:sz w:val="28"/>
          <w:szCs w:val="28"/>
        </w:rPr>
        <w:lastRenderedPageBreak/>
        <w:t>Hög organisationsgrad i Sverige trots nedgång</w:t>
      </w:r>
    </w:p>
    <w:p w:rsidR="00AA6986" w:rsidRPr="00A6594D" w:rsidRDefault="00AA6986" w:rsidP="005621CE">
      <w:pPr>
        <w:pStyle w:val="Rubrik3"/>
        <w:rPr>
          <w:b/>
          <w:bCs/>
          <w:sz w:val="25"/>
          <w:szCs w:val="25"/>
        </w:rPr>
      </w:pPr>
      <w:r w:rsidRPr="00A6594D">
        <w:rPr>
          <w:b/>
          <w:bCs/>
          <w:sz w:val="25"/>
          <w:szCs w:val="25"/>
        </w:rPr>
        <w:t>Fackens organisationsgrad</w:t>
      </w:r>
    </w:p>
    <w:p w:rsidR="00AA6986" w:rsidRDefault="00AA6986" w:rsidP="005621CE">
      <w:r w:rsidRPr="005621CE">
        <w:t xml:space="preserve">Den svenska arbetsmarknadsmodellen </w:t>
      </w:r>
      <w:r>
        <w:t>kännetecknas bland annat av att många väljer att vara med i en facklig organisation, organisationsgraden är hög. Tidigare var den i genomsnitt 85 procent fast den varierade mellan branscher och yrkesgrupper.</w:t>
      </w:r>
      <w:r w:rsidR="00AA7AF8" w:rsidRPr="00AA7AF8">
        <w:rPr>
          <w:noProof/>
          <w:lang w:eastAsia="sv-SE"/>
        </w:rPr>
        <w:t xml:space="preserve"> </w:t>
      </w:r>
    </w:p>
    <w:p w:rsidR="00AA6986" w:rsidRDefault="00AA6986" w:rsidP="005621CE">
      <w:r>
        <w:t>Organisationsgraden beräknas nu till 71 procent men fortfarande är variationen stor. LO-förbundens medlemsantal har minskat medan det har ökat inom vissa tjänstemannafack. Tjänstemännen har idag i genomsnitt en högre organisations</w:t>
      </w:r>
      <w:r>
        <w:softHyphen/>
        <w:t>grad än LO-grupperna.</w:t>
      </w:r>
      <w:r w:rsidRPr="003E4AB8">
        <w:t xml:space="preserve"> </w:t>
      </w:r>
      <w:r>
        <w:t>Det finns flera förklaringar till förändringarna, bland annat strukturella.</w:t>
      </w:r>
    </w:p>
    <w:p w:rsidR="00AA6986" w:rsidRPr="00A6594D" w:rsidRDefault="00AA6986" w:rsidP="005621CE">
      <w:pPr>
        <w:spacing w:after="0"/>
        <w:rPr>
          <w:b/>
          <w:sz w:val="25"/>
          <w:szCs w:val="25"/>
        </w:rPr>
      </w:pPr>
      <w:r w:rsidRPr="00A6594D">
        <w:rPr>
          <w:b/>
          <w:sz w:val="25"/>
          <w:szCs w:val="25"/>
        </w:rPr>
        <w:t>Arbetsgivarnas organisationsgrad</w:t>
      </w:r>
    </w:p>
    <w:p w:rsidR="00AA6986" w:rsidRDefault="00AA6986" w:rsidP="005621CE">
      <w:r>
        <w:t>Till skillnad från den fackliga organisationsgraden har arbetsgivarnas organisationsgrad varit stabil och ökat något under senare år. Den beräknas till 87 procent, inom den privata sektorn 80 procent och inom kommuner, landsting och staten 100 procent.</w:t>
      </w:r>
    </w:p>
    <w:p w:rsidR="007341EC" w:rsidRPr="003D2030" w:rsidRDefault="007341EC" w:rsidP="007341EC">
      <w:pPr>
        <w:pStyle w:val="Tabellrubrik1"/>
      </w:pPr>
      <w:r w:rsidRPr="00B90306">
        <w:rPr>
          <w:noProof/>
          <w:lang w:eastAsia="sv-SE"/>
        </w:rPr>
        <w:drawing>
          <wp:anchor distT="0" distB="0" distL="114300" distR="114300" simplePos="0" relativeHeight="251669504" behindDoc="0" locked="0" layoutInCell="1" allowOverlap="1" wp14:anchorId="55772479" wp14:editId="56BF24ED">
            <wp:simplePos x="0" y="0"/>
            <wp:positionH relativeFrom="column">
              <wp:posOffset>2386965</wp:posOffset>
            </wp:positionH>
            <wp:positionV relativeFrom="paragraph">
              <wp:posOffset>468630</wp:posOffset>
            </wp:positionV>
            <wp:extent cx="2667000" cy="2266950"/>
            <wp:effectExtent l="0" t="0" r="19050" b="19050"/>
            <wp:wrapTopAndBottom/>
            <wp:docPr id="12" name="Diagram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70528" behindDoc="1" locked="0" layoutInCell="1" allowOverlap="1" wp14:anchorId="7DF8724F" wp14:editId="3F463537">
            <wp:simplePos x="0" y="0"/>
            <wp:positionH relativeFrom="column">
              <wp:posOffset>24765</wp:posOffset>
            </wp:positionH>
            <wp:positionV relativeFrom="paragraph">
              <wp:posOffset>468630</wp:posOffset>
            </wp:positionV>
            <wp:extent cx="2162175" cy="2247900"/>
            <wp:effectExtent l="0" t="0" r="9525" b="19050"/>
            <wp:wrapTight wrapText="bothSides">
              <wp:wrapPolygon edited="0">
                <wp:start x="0" y="0"/>
                <wp:lineTo x="0" y="21600"/>
                <wp:lineTo x="21505" y="21600"/>
                <wp:lineTo x="21505" y="0"/>
                <wp:lineTo x="0" y="0"/>
              </wp:wrapPolygon>
            </wp:wrapTight>
            <wp:docPr id="13" name="Diagram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Pr="00B90306">
        <w:t>Medlemsutveckling</w:t>
      </w:r>
      <w:r>
        <w:rPr>
          <w:b/>
        </w:rPr>
        <w:t xml:space="preserve"> i</w:t>
      </w:r>
      <w:r w:rsidRPr="003D2030">
        <w:t xml:space="preserve"> Svenskt Näringsliv och</w:t>
      </w:r>
      <w:r>
        <w:t xml:space="preserve"> av yrkesverksamma</w:t>
      </w:r>
      <w:r w:rsidRPr="003D2030">
        <w:t xml:space="preserve"> i fackförbunden efter centralorganisation</w:t>
      </w:r>
    </w:p>
    <w:p w:rsidR="007341EC" w:rsidRPr="007341EC" w:rsidRDefault="007341EC" w:rsidP="007341EC">
      <w:pPr>
        <w:rPr>
          <w:rFonts w:ascii="Arial" w:hAnsi="Arial" w:cs="Arial"/>
          <w:sz w:val="16"/>
          <w:szCs w:val="16"/>
        </w:rPr>
      </w:pPr>
      <w:r w:rsidRPr="007341EC">
        <w:rPr>
          <w:rFonts w:ascii="Arial" w:hAnsi="Arial" w:cs="Arial"/>
          <w:sz w:val="16"/>
          <w:szCs w:val="16"/>
        </w:rPr>
        <w:t>Källor: Svenskt Näringsliv, LO, TCO, Saco</w:t>
      </w:r>
    </w:p>
    <w:p w:rsidR="00AA6986" w:rsidRPr="00A6594D" w:rsidRDefault="00AA6986" w:rsidP="005621CE">
      <w:pPr>
        <w:spacing w:after="0"/>
        <w:rPr>
          <w:b/>
          <w:sz w:val="25"/>
          <w:szCs w:val="25"/>
        </w:rPr>
      </w:pPr>
      <w:r w:rsidRPr="00A6594D">
        <w:rPr>
          <w:b/>
          <w:sz w:val="25"/>
          <w:szCs w:val="25"/>
        </w:rPr>
        <w:t>Kollektivavtalens täckningsgrad</w:t>
      </w:r>
    </w:p>
    <w:p w:rsidR="00AA6986" w:rsidRDefault="00AA6986" w:rsidP="005621CE">
      <w:r>
        <w:t>Den viktigaste delen i den svenska arbetsmarknadsmodellen är kollektivavtalet. Riksdag och regering avstår i Sverige från att i lag reglera anställningsvillkor till förmån för kollektivavtal.</w:t>
      </w:r>
    </w:p>
    <w:p w:rsidR="00AA6986" w:rsidRDefault="00AA6986" w:rsidP="005621CE">
      <w:r>
        <w:t>Från denna princip finns åtskilliga undantag, bland annat 1970-talets arbetsrättsreformer men också under senare år har den arbetsrättsliga lagstiftningen förändrats och under årets avtalsrörelse har det förekommit skilda politiska utspel till förmån för olika grupper på arbetsmarknaden, till exempel. lågavlönade kvinnor, lärare och andra grupper akademiker inom kommuner. Andra synpunkter från politiker har rört lägst- eller ungdomslöner.</w:t>
      </w:r>
    </w:p>
    <w:p w:rsidR="00062AA9" w:rsidRDefault="00AA6986" w:rsidP="005621CE">
      <w:r>
        <w:t>Det är viktigt, för att undvika ytterligare lagstiftning men också för att kunna tillämpa de dispositiva lagarna, att kollektivavtalen täcker stora delar av arbetsmarknaden. Kollektivavtalens täckningsgrad varierar mellan branscherna men i genomsnitt är den, inklusive så kallade hängavtal, drygt 90 procent</w:t>
      </w:r>
      <w:r w:rsidR="007341EC">
        <w:t>.</w:t>
      </w:r>
      <w:r>
        <w:t xml:space="preserve"> </w:t>
      </w:r>
      <w:r w:rsidR="007341EC">
        <w:t>I</w:t>
      </w:r>
      <w:r>
        <w:t xml:space="preserve">nom den privata sektorn </w:t>
      </w:r>
      <w:r w:rsidR="007341EC">
        <w:t xml:space="preserve">är täckningsgraden </w:t>
      </w:r>
      <w:r>
        <w:t>87 procent och inom kommuner, landsting och staten 100 procent.</w:t>
      </w:r>
      <w:r w:rsidR="00062AA9">
        <w:br w:type="page"/>
      </w:r>
    </w:p>
    <w:p w:rsidR="004E6F6F" w:rsidRPr="00A6594D" w:rsidRDefault="004E6F6F" w:rsidP="004E6F6F">
      <w:pPr>
        <w:rPr>
          <w:b/>
          <w:sz w:val="28"/>
          <w:szCs w:val="28"/>
        </w:rPr>
      </w:pPr>
      <w:r w:rsidRPr="00A6594D">
        <w:rPr>
          <w:b/>
          <w:sz w:val="28"/>
          <w:szCs w:val="28"/>
        </w:rPr>
        <w:lastRenderedPageBreak/>
        <w:t>Avtal som löper ut 2013</w:t>
      </w:r>
    </w:p>
    <w:p w:rsidR="004E6F6F" w:rsidRPr="00255DD4" w:rsidRDefault="004E6F6F" w:rsidP="004E6F6F">
      <w:pPr>
        <w:rPr>
          <w:sz w:val="22"/>
          <w:szCs w:val="22"/>
        </w:rPr>
      </w:pPr>
      <w:r>
        <w:t xml:space="preserve">År 2013 ska en huvuddel av de anställda på den svenska arbetsmarknaden få nya avtal. Enligt de rapporter som kommit in hittills till Medlingsinstitutet kommer 507 avtal att förhandlas om under året. </w:t>
      </w:r>
    </w:p>
    <w:p w:rsidR="004E6F6F" w:rsidRPr="00D72B52" w:rsidRDefault="004E6F6F" w:rsidP="004E6F6F">
      <w:pPr>
        <w:rPr>
          <w:rFonts w:ascii="Arial" w:hAnsi="Arial" w:cs="Arial"/>
          <w:sz w:val="40"/>
          <w:szCs w:val="40"/>
        </w:rPr>
      </w:pPr>
      <w:r>
        <w:rPr>
          <w:rFonts w:ascii="Arial" w:hAnsi="Arial" w:cs="Arial"/>
          <w:noProof/>
          <w:sz w:val="40"/>
          <w:szCs w:val="40"/>
          <w:lang w:eastAsia="sv-SE"/>
        </w:rPr>
        <w:drawing>
          <wp:anchor distT="0" distB="0" distL="114300" distR="114300" simplePos="0" relativeHeight="251680768" behindDoc="1" locked="0" layoutInCell="1" allowOverlap="1" wp14:anchorId="6729CEB0" wp14:editId="49EB1180">
            <wp:simplePos x="0" y="0"/>
            <wp:positionH relativeFrom="column">
              <wp:posOffset>-23495</wp:posOffset>
            </wp:positionH>
            <wp:positionV relativeFrom="paragraph">
              <wp:posOffset>3866515</wp:posOffset>
            </wp:positionV>
            <wp:extent cx="5137150" cy="2962275"/>
            <wp:effectExtent l="0" t="0" r="6350" b="9525"/>
            <wp:wrapTight wrapText="bothSides">
              <wp:wrapPolygon edited="0">
                <wp:start x="0" y="0"/>
                <wp:lineTo x="0" y="21531"/>
                <wp:lineTo x="21547" y="21531"/>
                <wp:lineTo x="21547" y="0"/>
                <wp:lineTo x="0" y="0"/>
              </wp:wrapPolygon>
            </wp:wrapTight>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lys14.jpg"/>
                    <pic:cNvPicPr/>
                  </pic:nvPicPr>
                  <pic:blipFill>
                    <a:blip r:embed="rId19">
                      <a:extLst>
                        <a:ext uri="{28A0092B-C50C-407E-A947-70E740481C1C}">
                          <a14:useLocalDpi xmlns:a14="http://schemas.microsoft.com/office/drawing/2010/main" val="0"/>
                        </a:ext>
                      </a:extLst>
                    </a:blip>
                    <a:stretch>
                      <a:fillRect/>
                    </a:stretch>
                  </pic:blipFill>
                  <pic:spPr>
                    <a:xfrm>
                      <a:off x="0" y="0"/>
                      <a:ext cx="5137150" cy="29622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40"/>
          <w:szCs w:val="40"/>
          <w:lang w:eastAsia="sv-SE"/>
        </w:rPr>
        <w:drawing>
          <wp:anchor distT="0" distB="0" distL="114300" distR="114300" simplePos="0" relativeHeight="251679744" behindDoc="1" locked="0" layoutInCell="1" allowOverlap="1" wp14:anchorId="5A0B33FD" wp14:editId="7AD65E9A">
            <wp:simplePos x="0" y="0"/>
            <wp:positionH relativeFrom="column">
              <wp:posOffset>-33020</wp:posOffset>
            </wp:positionH>
            <wp:positionV relativeFrom="paragraph">
              <wp:posOffset>370840</wp:posOffset>
            </wp:positionV>
            <wp:extent cx="5076825" cy="3085465"/>
            <wp:effectExtent l="0" t="0" r="9525" b="635"/>
            <wp:wrapTight wrapText="bothSides">
              <wp:wrapPolygon edited="0">
                <wp:start x="0" y="0"/>
                <wp:lineTo x="0" y="21471"/>
                <wp:lineTo x="21559" y="21471"/>
                <wp:lineTo x="21559" y="0"/>
                <wp:lineTo x="0" y="0"/>
              </wp:wrapPolygon>
            </wp:wrapTight>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lys13.jpg"/>
                    <pic:cNvPicPr/>
                  </pic:nvPicPr>
                  <pic:blipFill>
                    <a:blip r:embed="rId20">
                      <a:extLst>
                        <a:ext uri="{28A0092B-C50C-407E-A947-70E740481C1C}">
                          <a14:useLocalDpi xmlns:a14="http://schemas.microsoft.com/office/drawing/2010/main" val="0"/>
                        </a:ext>
                      </a:extLst>
                    </a:blip>
                    <a:stretch>
                      <a:fillRect/>
                    </a:stretch>
                  </pic:blipFill>
                  <pic:spPr>
                    <a:xfrm>
                      <a:off x="0" y="0"/>
                      <a:ext cx="5076825" cy="3085465"/>
                    </a:xfrm>
                    <a:prstGeom prst="rect">
                      <a:avLst/>
                    </a:prstGeom>
                  </pic:spPr>
                </pic:pic>
              </a:graphicData>
            </a:graphic>
            <wp14:sizeRelH relativeFrom="page">
              <wp14:pctWidth>0</wp14:pctWidth>
            </wp14:sizeRelH>
            <wp14:sizeRelV relativeFrom="page">
              <wp14:pctHeight>0</wp14:pctHeight>
            </wp14:sizeRelV>
          </wp:anchor>
        </w:drawing>
      </w:r>
    </w:p>
    <w:p w:rsidR="004E6F6F" w:rsidRDefault="004E6F6F" w:rsidP="004E6F6F">
      <w:r>
        <w:br w:type="page"/>
      </w:r>
    </w:p>
    <w:p w:rsidR="004E6F6F" w:rsidRDefault="004E6F6F" w:rsidP="004E6F6F">
      <w:pPr>
        <w:spacing w:after="0" w:line="240" w:lineRule="auto"/>
        <w:rPr>
          <w:rFonts w:ascii="Calibri" w:hAnsi="Calibri"/>
          <w:color w:val="000000"/>
          <w:lang w:eastAsia="sv-SE"/>
        </w:rPr>
      </w:pPr>
      <w:r>
        <w:rPr>
          <w:rFonts w:ascii="Calibri" w:hAnsi="Calibri"/>
          <w:noProof/>
          <w:color w:val="000000"/>
          <w:lang w:eastAsia="sv-SE"/>
        </w:rPr>
        <w:lastRenderedPageBreak/>
        <w:drawing>
          <wp:inline distT="0" distB="0" distL="0" distR="0" wp14:anchorId="6136ED02" wp14:editId="132F438B">
            <wp:extent cx="5762625" cy="1038225"/>
            <wp:effectExtent l="0" t="0" r="9525" b="9525"/>
            <wp:docPr id="6" name="Bildobjekt 6" descr="C:\Users\boan\Desktop\Loggor\MI-Word-Header-Ståend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an\Desktop\Loggor\MI-Word-Header-Stående[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62625" cy="1038225"/>
                    </a:xfrm>
                    <a:prstGeom prst="rect">
                      <a:avLst/>
                    </a:prstGeom>
                    <a:noFill/>
                    <a:ln>
                      <a:noFill/>
                    </a:ln>
                  </pic:spPr>
                </pic:pic>
              </a:graphicData>
            </a:graphic>
          </wp:inline>
        </w:drawing>
      </w:r>
    </w:p>
    <w:p w:rsidR="004E6F6F" w:rsidRDefault="004E6F6F" w:rsidP="004E6F6F">
      <w:pPr>
        <w:spacing w:after="0" w:line="240" w:lineRule="auto"/>
        <w:rPr>
          <w:rFonts w:ascii="Calibri" w:hAnsi="Calibri"/>
          <w:color w:val="000000"/>
          <w:lang w:eastAsia="sv-SE"/>
        </w:rPr>
      </w:pPr>
    </w:p>
    <w:p w:rsidR="004E6F6F" w:rsidRDefault="004E6F6F" w:rsidP="004E6F6F">
      <w:pPr>
        <w:spacing w:line="240" w:lineRule="auto"/>
        <w:rPr>
          <w:b/>
          <w:color w:val="000000"/>
          <w:lang w:eastAsia="sv-SE"/>
        </w:rPr>
      </w:pPr>
      <w:r w:rsidRPr="00734669">
        <w:rPr>
          <w:b/>
          <w:color w:val="000000"/>
          <w:lang w:eastAsia="sv-SE"/>
        </w:rPr>
        <w:t>Nedanstående tabell är en sammanställning av de 5</w:t>
      </w:r>
      <w:r>
        <w:rPr>
          <w:b/>
          <w:color w:val="000000"/>
          <w:lang w:eastAsia="sv-SE"/>
        </w:rPr>
        <w:t>12</w:t>
      </w:r>
      <w:r w:rsidRPr="00734669">
        <w:rPr>
          <w:b/>
          <w:color w:val="000000"/>
          <w:lang w:eastAsia="sv-SE"/>
        </w:rPr>
        <w:t xml:space="preserve"> avtal som löper ut 2013 enligt uppgifter till Medlingsinstitutet till och med </w:t>
      </w:r>
      <w:r>
        <w:rPr>
          <w:b/>
          <w:color w:val="000000"/>
          <w:lang w:eastAsia="sv-SE"/>
        </w:rPr>
        <w:t>2</w:t>
      </w:r>
      <w:r w:rsidRPr="00734669">
        <w:rPr>
          <w:b/>
          <w:color w:val="000000"/>
          <w:lang w:eastAsia="sv-SE"/>
        </w:rPr>
        <w:t>1 november 2012. De avtal som hittills slutits med utlöpningstidpunkt 2013 berör minst 2,5 miljoner anställda.</w:t>
      </w:r>
    </w:p>
    <w:p w:rsidR="004E6F6F" w:rsidRDefault="004E6F6F" w:rsidP="004E6F6F">
      <w:pPr>
        <w:spacing w:line="240" w:lineRule="auto"/>
        <w:rPr>
          <w:color w:val="000000"/>
          <w:lang w:eastAsia="sv-SE"/>
        </w:rPr>
      </w:pPr>
      <w:r>
        <w:rPr>
          <w:color w:val="000000"/>
          <w:lang w:eastAsia="sv-SE"/>
        </w:rPr>
        <w:t xml:space="preserve">Det återstår 48 mindre avtal </w:t>
      </w:r>
      <w:r w:rsidRPr="00734669">
        <w:rPr>
          <w:color w:val="000000"/>
          <w:lang w:eastAsia="sv-SE"/>
        </w:rPr>
        <w:t xml:space="preserve">att förhandla under 2012. Av dem har </w:t>
      </w:r>
      <w:r>
        <w:rPr>
          <w:color w:val="000000"/>
          <w:lang w:eastAsia="sv-SE"/>
        </w:rPr>
        <w:t>9</w:t>
      </w:r>
      <w:r w:rsidRPr="00734669">
        <w:rPr>
          <w:color w:val="000000"/>
          <w:lang w:eastAsia="sv-SE"/>
        </w:rPr>
        <w:t xml:space="preserve"> avtal sin utlöpningstidpunkt 2012-10-31 eller senare. Exempel på avtal som inte är klara/återstår att förhandla är avtal i</w:t>
      </w:r>
      <w:r>
        <w:rPr>
          <w:color w:val="000000"/>
          <w:lang w:eastAsia="sv-SE"/>
        </w:rPr>
        <w:t>nom utbildning (IDEA, KFS, KFO) liksom</w:t>
      </w:r>
      <w:r w:rsidRPr="00734669">
        <w:rPr>
          <w:color w:val="000000"/>
          <w:lang w:eastAsia="sv-SE"/>
        </w:rPr>
        <w:t xml:space="preserve"> avtal för Revisions- och k</w:t>
      </w:r>
      <w:r>
        <w:rPr>
          <w:color w:val="000000"/>
          <w:lang w:eastAsia="sv-SE"/>
        </w:rPr>
        <w:t>onsultföretag</w:t>
      </w:r>
      <w:r w:rsidRPr="00734669">
        <w:rPr>
          <w:color w:val="000000"/>
          <w:lang w:eastAsia="sv-SE"/>
        </w:rPr>
        <w:t>, Ombordanställda och Tidningsdistr</w:t>
      </w:r>
      <w:r>
        <w:rPr>
          <w:color w:val="000000"/>
          <w:lang w:eastAsia="sv-SE"/>
        </w:rPr>
        <w:t>i</w:t>
      </w:r>
      <w:r w:rsidRPr="00734669">
        <w:rPr>
          <w:color w:val="000000"/>
          <w:lang w:eastAsia="sv-SE"/>
        </w:rPr>
        <w:t>butörer.</w:t>
      </w:r>
    </w:p>
    <w:p w:rsidR="004E6F6F" w:rsidRDefault="004E6F6F" w:rsidP="004E6F6F">
      <w:pPr>
        <w:spacing w:line="240" w:lineRule="auto"/>
        <w:rPr>
          <w:color w:val="000000"/>
          <w:lang w:eastAsia="sv-SE"/>
        </w:rPr>
      </w:pPr>
      <w:r w:rsidRPr="00734669">
        <w:rPr>
          <w:color w:val="000000"/>
          <w:lang w:eastAsia="sv-SE"/>
        </w:rPr>
        <w:t>De avtal som går ut senare eller löper tillsvidare berör drygt 600 000 anställda</w:t>
      </w:r>
      <w:r>
        <w:rPr>
          <w:color w:val="000000"/>
          <w:lang w:eastAsia="sv-SE"/>
        </w:rPr>
        <w:t>.</w:t>
      </w:r>
    </w:p>
    <w:p w:rsidR="004E6F6F" w:rsidRDefault="004E6F6F" w:rsidP="004E6F6F">
      <w:pPr>
        <w:spacing w:line="240" w:lineRule="auto"/>
        <w:rPr>
          <w:color w:val="000000"/>
          <w:lang w:eastAsia="sv-SE"/>
        </w:rPr>
      </w:pPr>
      <w:r w:rsidRPr="00734669">
        <w:rPr>
          <w:color w:val="000000"/>
          <w:lang w:eastAsia="sv-SE"/>
        </w:rPr>
        <w:t>Under år 2014 löper 30 avtal ut, till exempel avtal för anställda i bank och branscherna Folkhögskolor samt ett antal avtal inom Arbetsgivaralliansen</w:t>
      </w:r>
      <w:r>
        <w:rPr>
          <w:color w:val="000000"/>
          <w:lang w:eastAsia="sv-SE"/>
        </w:rPr>
        <w:t>.</w:t>
      </w:r>
    </w:p>
    <w:p w:rsidR="004E6F6F" w:rsidRDefault="004E6F6F" w:rsidP="004E6F6F">
      <w:pPr>
        <w:spacing w:line="240" w:lineRule="auto"/>
        <w:rPr>
          <w:color w:val="000000"/>
          <w:lang w:eastAsia="sv-SE"/>
        </w:rPr>
      </w:pPr>
      <w:r w:rsidRPr="00734669">
        <w:rPr>
          <w:color w:val="000000"/>
          <w:lang w:eastAsia="sv-SE"/>
        </w:rPr>
        <w:t>Bemanningsavtalet för LO-förbunden samt Förbundsområde Hälso- och sjukvård (Vårdförbundet och LSR) i den kommunala sektorn löper ut år 2015.</w:t>
      </w:r>
    </w:p>
    <w:p w:rsidR="004E6F6F" w:rsidRDefault="004E6F6F" w:rsidP="004E6F6F">
      <w:pPr>
        <w:spacing w:line="240" w:lineRule="auto"/>
        <w:rPr>
          <w:color w:val="000000"/>
          <w:lang w:eastAsia="sv-SE"/>
        </w:rPr>
      </w:pPr>
      <w:r w:rsidRPr="00734669">
        <w:rPr>
          <w:color w:val="000000"/>
          <w:lang w:eastAsia="sv-SE"/>
        </w:rPr>
        <w:t>Läraravtalen i den kommunala sektorn löper ut år 2016</w:t>
      </w:r>
      <w:r>
        <w:rPr>
          <w:color w:val="000000"/>
          <w:lang w:eastAsia="sv-SE"/>
        </w:rPr>
        <w:t>.</w:t>
      </w:r>
    </w:p>
    <w:p w:rsidR="004E6F6F" w:rsidRPr="00734669" w:rsidRDefault="004E6F6F" w:rsidP="004E6F6F">
      <w:pPr>
        <w:spacing w:line="240" w:lineRule="auto"/>
        <w:rPr>
          <w:color w:val="000000"/>
          <w:lang w:eastAsia="sv-SE"/>
        </w:rPr>
      </w:pPr>
      <w:r w:rsidRPr="00734669">
        <w:rPr>
          <w:color w:val="000000"/>
          <w:lang w:eastAsia="sv-SE"/>
        </w:rPr>
        <w:t>Dessutom löper 65 avtal tillsvidare.</w:t>
      </w:r>
    </w:p>
    <w:p w:rsidR="004E6F6F" w:rsidRDefault="004E6F6F" w:rsidP="004E6F6F">
      <w:pPr>
        <w:spacing w:after="0" w:line="240" w:lineRule="auto"/>
        <w:rPr>
          <w:rFonts w:ascii="Calibri" w:hAnsi="Calibri"/>
          <w:color w:val="000000"/>
          <w:lang w:eastAsia="sv-SE"/>
        </w:rPr>
      </w:pPr>
    </w:p>
    <w:tbl>
      <w:tblPr>
        <w:tblStyle w:val="Ljuslista-dekorfrg2"/>
        <w:tblW w:w="9753" w:type="dxa"/>
        <w:tblLook w:val="04A0" w:firstRow="1" w:lastRow="0" w:firstColumn="1" w:lastColumn="0" w:noHBand="0" w:noVBand="1"/>
      </w:tblPr>
      <w:tblGrid>
        <w:gridCol w:w="1433"/>
        <w:gridCol w:w="1220"/>
        <w:gridCol w:w="2020"/>
        <w:gridCol w:w="5080"/>
      </w:tblGrid>
      <w:tr w:rsidR="004E6F6F" w:rsidRPr="00734669" w:rsidTr="004E6F6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33" w:type="dxa"/>
            <w:shd w:val="clear" w:color="auto" w:fill="984806" w:themeFill="accent6" w:themeFillShade="80"/>
            <w:noWrap/>
            <w:hideMark/>
          </w:tcPr>
          <w:p w:rsidR="004E6F6F" w:rsidRPr="00734669" w:rsidRDefault="004E6F6F" w:rsidP="004E6F6F">
            <w:pPr>
              <w:rPr>
                <w:rFonts w:ascii="Calibri" w:eastAsia="Times New Roman" w:hAnsi="Calibri" w:cs="Times New Roman"/>
                <w:color w:val="FFFFFF"/>
                <w:lang w:eastAsia="sv-SE"/>
              </w:rPr>
            </w:pPr>
            <w:r w:rsidRPr="00734669">
              <w:rPr>
                <w:rFonts w:ascii="Calibri" w:eastAsia="Times New Roman" w:hAnsi="Calibri" w:cs="Times New Roman"/>
                <w:color w:val="FFFFFF"/>
                <w:lang w:eastAsia="sv-SE"/>
              </w:rPr>
              <w:t>Tidpunkt</w:t>
            </w:r>
          </w:p>
        </w:tc>
        <w:tc>
          <w:tcPr>
            <w:tcW w:w="1220" w:type="dxa"/>
            <w:shd w:val="clear" w:color="auto" w:fill="984806" w:themeFill="accent6" w:themeFillShade="80"/>
            <w:noWrap/>
            <w:hideMark/>
          </w:tcPr>
          <w:p w:rsidR="004E6F6F" w:rsidRPr="00734669" w:rsidRDefault="004E6F6F" w:rsidP="004E6F6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FFFFFF"/>
                <w:lang w:eastAsia="sv-SE"/>
              </w:rPr>
            </w:pPr>
            <w:r w:rsidRPr="00734669">
              <w:rPr>
                <w:rFonts w:ascii="Calibri" w:eastAsia="Times New Roman" w:hAnsi="Calibri" w:cs="Times New Roman"/>
                <w:color w:val="FFFFFF"/>
                <w:lang w:eastAsia="sv-SE"/>
              </w:rPr>
              <w:t>Antal avtal</w:t>
            </w:r>
          </w:p>
        </w:tc>
        <w:tc>
          <w:tcPr>
            <w:tcW w:w="2020" w:type="dxa"/>
            <w:shd w:val="clear" w:color="auto" w:fill="984806" w:themeFill="accent6" w:themeFillShade="80"/>
            <w:noWrap/>
            <w:hideMark/>
          </w:tcPr>
          <w:p w:rsidR="004E6F6F" w:rsidRPr="00734669" w:rsidRDefault="004E6F6F" w:rsidP="004E6F6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FFFFFF"/>
                <w:lang w:eastAsia="sv-SE"/>
              </w:rPr>
            </w:pPr>
            <w:r w:rsidRPr="00734669">
              <w:rPr>
                <w:rFonts w:ascii="Calibri" w:eastAsia="Times New Roman" w:hAnsi="Calibri" w:cs="Times New Roman"/>
                <w:color w:val="FFFFFF"/>
                <w:lang w:eastAsia="sv-SE"/>
              </w:rPr>
              <w:t>Antal arbetstagare</w:t>
            </w:r>
          </w:p>
        </w:tc>
        <w:tc>
          <w:tcPr>
            <w:tcW w:w="5080" w:type="dxa"/>
            <w:shd w:val="clear" w:color="auto" w:fill="984806" w:themeFill="accent6" w:themeFillShade="80"/>
            <w:noWrap/>
            <w:hideMark/>
          </w:tcPr>
          <w:p w:rsidR="004E6F6F" w:rsidRPr="00734669" w:rsidRDefault="004E6F6F" w:rsidP="004E6F6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FFFFFF"/>
                <w:lang w:eastAsia="sv-SE"/>
              </w:rPr>
            </w:pPr>
            <w:r w:rsidRPr="00734669">
              <w:rPr>
                <w:rFonts w:ascii="Calibri" w:eastAsia="Times New Roman" w:hAnsi="Calibri" w:cs="Times New Roman"/>
                <w:color w:val="FFFFFF"/>
                <w:lang w:eastAsia="sv-SE"/>
              </w:rPr>
              <w:t>Berörda större avtal, exempel</w:t>
            </w:r>
          </w:p>
        </w:tc>
      </w:tr>
      <w:tr w:rsidR="004E6F6F" w:rsidRPr="00734669" w:rsidTr="004E6F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33" w:type="dxa"/>
            <w:noWrap/>
            <w:hideMark/>
          </w:tcPr>
          <w:p w:rsidR="004E6F6F" w:rsidRPr="00734669" w:rsidRDefault="004E6F6F" w:rsidP="004E6F6F">
            <w:pPr>
              <w:jc w:val="right"/>
              <w:rPr>
                <w:rFonts w:ascii="Calibri" w:eastAsia="Times New Roman" w:hAnsi="Calibri" w:cs="Times New Roman"/>
                <w:color w:val="000000"/>
                <w:lang w:eastAsia="sv-SE"/>
              </w:rPr>
            </w:pPr>
            <w:r w:rsidRPr="00734669">
              <w:rPr>
                <w:rFonts w:ascii="Calibri" w:eastAsia="Times New Roman" w:hAnsi="Calibri" w:cs="Times New Roman"/>
                <w:color w:val="000000"/>
                <w:lang w:eastAsia="sv-SE"/>
              </w:rPr>
              <w:t>2013-01-31</w:t>
            </w:r>
          </w:p>
        </w:tc>
        <w:tc>
          <w:tcPr>
            <w:tcW w:w="1220" w:type="dxa"/>
            <w:noWrap/>
            <w:hideMark/>
          </w:tcPr>
          <w:p w:rsidR="004E6F6F" w:rsidRPr="00734669" w:rsidRDefault="004E6F6F" w:rsidP="004E6F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sv-SE"/>
              </w:rPr>
            </w:pPr>
            <w:r w:rsidRPr="00734669">
              <w:rPr>
                <w:rFonts w:ascii="Calibri" w:eastAsia="Times New Roman" w:hAnsi="Calibri" w:cs="Times New Roman"/>
                <w:color w:val="000000"/>
                <w:lang w:eastAsia="sv-SE"/>
              </w:rPr>
              <w:t>3</w:t>
            </w:r>
          </w:p>
        </w:tc>
        <w:tc>
          <w:tcPr>
            <w:tcW w:w="2020" w:type="dxa"/>
            <w:noWrap/>
            <w:hideMark/>
          </w:tcPr>
          <w:p w:rsidR="004E6F6F" w:rsidRPr="00734669" w:rsidRDefault="004E6F6F" w:rsidP="004E6F6F">
            <w:pPr>
              <w:ind w:firstLineChars="100" w:firstLine="23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sv-SE"/>
              </w:rPr>
            </w:pPr>
            <w:r w:rsidRPr="00734669">
              <w:rPr>
                <w:rFonts w:ascii="Calibri" w:eastAsia="Times New Roman" w:hAnsi="Calibri" w:cs="Times New Roman"/>
                <w:color w:val="000000"/>
                <w:lang w:eastAsia="sv-SE"/>
              </w:rPr>
              <w:t xml:space="preserve">4 000 </w:t>
            </w:r>
          </w:p>
        </w:tc>
        <w:tc>
          <w:tcPr>
            <w:tcW w:w="5080" w:type="dxa"/>
            <w:noWrap/>
            <w:hideMark/>
          </w:tcPr>
          <w:p w:rsidR="004E6F6F" w:rsidRPr="00734669" w:rsidRDefault="004E6F6F" w:rsidP="004E6F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sv-SE"/>
              </w:rPr>
            </w:pPr>
            <w:r w:rsidRPr="00734669">
              <w:rPr>
                <w:rFonts w:ascii="Calibri" w:eastAsia="Times New Roman" w:hAnsi="Calibri" w:cs="Times New Roman"/>
                <w:color w:val="000000"/>
                <w:lang w:eastAsia="sv-SE"/>
              </w:rPr>
              <w:t>Fönsterputsningsföretag, Fartygs- och sjöbefäl</w:t>
            </w:r>
          </w:p>
        </w:tc>
      </w:tr>
      <w:tr w:rsidR="004E6F6F" w:rsidRPr="00734669" w:rsidTr="004E6F6F">
        <w:trPr>
          <w:trHeight w:val="300"/>
        </w:trPr>
        <w:tc>
          <w:tcPr>
            <w:cnfStyle w:val="001000000000" w:firstRow="0" w:lastRow="0" w:firstColumn="1" w:lastColumn="0" w:oddVBand="0" w:evenVBand="0" w:oddHBand="0" w:evenHBand="0" w:firstRowFirstColumn="0" w:firstRowLastColumn="0" w:lastRowFirstColumn="0" w:lastRowLastColumn="0"/>
            <w:tcW w:w="1433" w:type="dxa"/>
            <w:shd w:val="clear" w:color="auto" w:fill="FDE9D9" w:themeFill="accent6" w:themeFillTint="33"/>
            <w:hideMark/>
          </w:tcPr>
          <w:p w:rsidR="004E6F6F" w:rsidRPr="00734669" w:rsidRDefault="004E6F6F" w:rsidP="004E6F6F">
            <w:pPr>
              <w:jc w:val="right"/>
              <w:rPr>
                <w:rFonts w:ascii="Calibri" w:eastAsia="Times New Roman" w:hAnsi="Calibri" w:cs="Times New Roman"/>
                <w:color w:val="000000"/>
                <w:lang w:eastAsia="sv-SE"/>
              </w:rPr>
            </w:pPr>
            <w:r w:rsidRPr="00734669">
              <w:rPr>
                <w:rFonts w:ascii="Calibri" w:eastAsia="Times New Roman" w:hAnsi="Calibri" w:cs="Times New Roman"/>
                <w:color w:val="000000"/>
                <w:lang w:eastAsia="sv-SE"/>
              </w:rPr>
              <w:t>2013-02-28</w:t>
            </w:r>
          </w:p>
        </w:tc>
        <w:tc>
          <w:tcPr>
            <w:tcW w:w="1220" w:type="dxa"/>
            <w:shd w:val="clear" w:color="auto" w:fill="FDE9D9" w:themeFill="accent6" w:themeFillTint="33"/>
            <w:hideMark/>
          </w:tcPr>
          <w:p w:rsidR="004E6F6F" w:rsidRPr="00734669" w:rsidRDefault="004E6F6F" w:rsidP="004E6F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sv-SE"/>
              </w:rPr>
            </w:pPr>
            <w:r w:rsidRPr="00734669">
              <w:rPr>
                <w:rFonts w:ascii="Calibri" w:eastAsia="Times New Roman" w:hAnsi="Calibri" w:cs="Times New Roman"/>
                <w:color w:val="000000"/>
                <w:lang w:eastAsia="sv-SE"/>
              </w:rPr>
              <w:t>13</w:t>
            </w:r>
          </w:p>
        </w:tc>
        <w:tc>
          <w:tcPr>
            <w:tcW w:w="2020" w:type="dxa"/>
            <w:shd w:val="clear" w:color="auto" w:fill="FDE9D9" w:themeFill="accent6" w:themeFillTint="33"/>
            <w:noWrap/>
            <w:hideMark/>
          </w:tcPr>
          <w:p w:rsidR="004E6F6F" w:rsidRPr="00734669" w:rsidRDefault="004E6F6F" w:rsidP="004E6F6F">
            <w:pPr>
              <w:ind w:firstLineChars="100" w:firstLine="23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sv-SE"/>
              </w:rPr>
            </w:pPr>
            <w:r w:rsidRPr="00734669">
              <w:rPr>
                <w:rFonts w:ascii="Calibri" w:eastAsia="Times New Roman" w:hAnsi="Calibri" w:cs="Times New Roman"/>
                <w:color w:val="000000"/>
                <w:lang w:eastAsia="sv-SE"/>
              </w:rPr>
              <w:t xml:space="preserve">120 000 </w:t>
            </w:r>
          </w:p>
        </w:tc>
        <w:tc>
          <w:tcPr>
            <w:tcW w:w="5080" w:type="dxa"/>
            <w:shd w:val="clear" w:color="auto" w:fill="FDE9D9" w:themeFill="accent6" w:themeFillTint="33"/>
            <w:hideMark/>
          </w:tcPr>
          <w:p w:rsidR="004E6F6F" w:rsidRPr="00734669" w:rsidRDefault="004E6F6F" w:rsidP="004E6F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sv-SE"/>
              </w:rPr>
            </w:pPr>
            <w:r w:rsidRPr="00734669">
              <w:rPr>
                <w:rFonts w:ascii="Calibri" w:eastAsia="Times New Roman" w:hAnsi="Calibri" w:cs="Times New Roman"/>
                <w:color w:val="000000"/>
                <w:lang w:eastAsia="sv-SE"/>
              </w:rPr>
              <w:t>Transportavtalet, Svensk Scenkonst, Byggavtalet</w:t>
            </w:r>
          </w:p>
        </w:tc>
      </w:tr>
      <w:tr w:rsidR="004E6F6F" w:rsidRPr="00734669" w:rsidTr="004E6F6F">
        <w:trPr>
          <w:cnfStyle w:val="000000100000" w:firstRow="0" w:lastRow="0" w:firstColumn="0" w:lastColumn="0" w:oddVBand="0" w:evenVBand="0" w:oddHBand="1" w:evenHBand="0" w:firstRowFirstColumn="0" w:firstRowLastColumn="0" w:lastRowFirstColumn="0" w:lastRowLastColumn="0"/>
          <w:trHeight w:val="1800"/>
        </w:trPr>
        <w:tc>
          <w:tcPr>
            <w:cnfStyle w:val="001000000000" w:firstRow="0" w:lastRow="0" w:firstColumn="1" w:lastColumn="0" w:oddVBand="0" w:evenVBand="0" w:oddHBand="0" w:evenHBand="0" w:firstRowFirstColumn="0" w:firstRowLastColumn="0" w:lastRowFirstColumn="0" w:lastRowLastColumn="0"/>
            <w:tcW w:w="1433" w:type="dxa"/>
            <w:noWrap/>
            <w:hideMark/>
          </w:tcPr>
          <w:p w:rsidR="004E6F6F" w:rsidRPr="00734669" w:rsidRDefault="004E6F6F" w:rsidP="004E6F6F">
            <w:pPr>
              <w:jc w:val="right"/>
              <w:rPr>
                <w:rFonts w:ascii="Calibri" w:eastAsia="Times New Roman" w:hAnsi="Calibri" w:cs="Times New Roman"/>
                <w:color w:val="000000"/>
                <w:lang w:eastAsia="sv-SE"/>
              </w:rPr>
            </w:pPr>
            <w:r w:rsidRPr="00734669">
              <w:rPr>
                <w:rFonts w:ascii="Calibri" w:eastAsia="Times New Roman" w:hAnsi="Calibri" w:cs="Times New Roman"/>
                <w:color w:val="000000"/>
                <w:lang w:eastAsia="sv-SE"/>
              </w:rPr>
              <w:t>2013-03-31</w:t>
            </w:r>
          </w:p>
        </w:tc>
        <w:tc>
          <w:tcPr>
            <w:tcW w:w="1220" w:type="dxa"/>
            <w:noWrap/>
            <w:hideMark/>
          </w:tcPr>
          <w:p w:rsidR="004E6F6F" w:rsidRPr="00734669" w:rsidRDefault="004E6F6F" w:rsidP="004E6F6F">
            <w:pPr>
              <w:ind w:left="223"/>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sv-SE"/>
              </w:rPr>
            </w:pPr>
            <w:r w:rsidRPr="00734669">
              <w:rPr>
                <w:rFonts w:ascii="Calibri" w:eastAsia="Times New Roman" w:hAnsi="Calibri" w:cs="Times New Roman"/>
                <w:color w:val="000000"/>
                <w:lang w:eastAsia="sv-SE"/>
              </w:rPr>
              <w:t>27</w:t>
            </w:r>
            <w:r>
              <w:rPr>
                <w:rFonts w:ascii="Calibri" w:eastAsia="Times New Roman" w:hAnsi="Calibri" w:cs="Times New Roman"/>
                <w:color w:val="000000"/>
                <w:lang w:eastAsia="sv-SE"/>
              </w:rPr>
              <w:t>2</w:t>
            </w:r>
          </w:p>
        </w:tc>
        <w:tc>
          <w:tcPr>
            <w:tcW w:w="2020" w:type="dxa"/>
            <w:noWrap/>
            <w:hideMark/>
          </w:tcPr>
          <w:p w:rsidR="004E6F6F" w:rsidRPr="00734669" w:rsidRDefault="004E6F6F" w:rsidP="004E6F6F">
            <w:pPr>
              <w:ind w:firstLineChars="100" w:firstLine="23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sv-SE"/>
              </w:rPr>
            </w:pPr>
            <w:r w:rsidRPr="00734669">
              <w:rPr>
                <w:rFonts w:ascii="Calibri" w:eastAsia="Times New Roman" w:hAnsi="Calibri" w:cs="Times New Roman"/>
                <w:color w:val="000000"/>
                <w:lang w:eastAsia="sv-SE"/>
              </w:rPr>
              <w:t xml:space="preserve">1 750 000 </w:t>
            </w:r>
          </w:p>
        </w:tc>
        <w:tc>
          <w:tcPr>
            <w:tcW w:w="5080" w:type="dxa"/>
            <w:hideMark/>
          </w:tcPr>
          <w:p w:rsidR="004E6F6F" w:rsidRPr="00734669" w:rsidRDefault="004E6F6F" w:rsidP="004E6F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sv-SE"/>
              </w:rPr>
            </w:pPr>
            <w:r w:rsidRPr="00734669">
              <w:rPr>
                <w:rFonts w:ascii="Calibri" w:eastAsia="Times New Roman" w:hAnsi="Calibri" w:cs="Times New Roman"/>
                <w:color w:val="000000"/>
                <w:lang w:eastAsia="sv-SE"/>
              </w:rPr>
              <w:t>Avtal inom industrin, Pappersavtalet, Detalj-och  partihandeln, Tjänstemannaavtal inom IT-och Telekom, Installationsavtalet; Måleriavtalet,  avtalen mellan Sveriges Kommuner och landsting-SKL/</w:t>
            </w:r>
            <w:proofErr w:type="spellStart"/>
            <w:r w:rsidRPr="00734669">
              <w:rPr>
                <w:rFonts w:ascii="Calibri" w:eastAsia="Times New Roman" w:hAnsi="Calibri" w:cs="Times New Roman"/>
                <w:color w:val="000000"/>
                <w:lang w:eastAsia="sv-SE"/>
              </w:rPr>
              <w:t>Pacta</w:t>
            </w:r>
            <w:proofErr w:type="spellEnd"/>
            <w:r w:rsidRPr="00734669">
              <w:rPr>
                <w:rFonts w:ascii="Calibri" w:eastAsia="Times New Roman" w:hAnsi="Calibri" w:cs="Times New Roman"/>
                <w:color w:val="000000"/>
                <w:lang w:eastAsia="sv-SE"/>
              </w:rPr>
              <w:t xml:space="preserve"> och  Allmän kommunal verksamhet,  Kommunal-arbetareförbundet samt Läkarförbundet</w:t>
            </w:r>
          </w:p>
        </w:tc>
      </w:tr>
      <w:tr w:rsidR="004E6F6F" w:rsidRPr="00734669" w:rsidTr="004E6F6F">
        <w:trPr>
          <w:trHeight w:val="900"/>
        </w:trPr>
        <w:tc>
          <w:tcPr>
            <w:cnfStyle w:val="001000000000" w:firstRow="0" w:lastRow="0" w:firstColumn="1" w:lastColumn="0" w:oddVBand="0" w:evenVBand="0" w:oddHBand="0" w:evenHBand="0" w:firstRowFirstColumn="0" w:firstRowLastColumn="0" w:lastRowFirstColumn="0" w:lastRowLastColumn="0"/>
            <w:tcW w:w="1433" w:type="dxa"/>
            <w:shd w:val="clear" w:color="auto" w:fill="FDE9D9" w:themeFill="accent6" w:themeFillTint="33"/>
            <w:noWrap/>
            <w:hideMark/>
          </w:tcPr>
          <w:p w:rsidR="004E6F6F" w:rsidRPr="00734669" w:rsidRDefault="004E6F6F" w:rsidP="004E6F6F">
            <w:pPr>
              <w:jc w:val="right"/>
              <w:rPr>
                <w:rFonts w:ascii="Calibri" w:eastAsia="Times New Roman" w:hAnsi="Calibri" w:cs="Times New Roman"/>
                <w:color w:val="000000"/>
                <w:lang w:eastAsia="sv-SE"/>
              </w:rPr>
            </w:pPr>
            <w:r w:rsidRPr="00734669">
              <w:rPr>
                <w:rFonts w:ascii="Calibri" w:eastAsia="Times New Roman" w:hAnsi="Calibri" w:cs="Times New Roman"/>
                <w:color w:val="000000"/>
                <w:lang w:eastAsia="sv-SE"/>
              </w:rPr>
              <w:t>2013-04-30</w:t>
            </w:r>
          </w:p>
        </w:tc>
        <w:tc>
          <w:tcPr>
            <w:tcW w:w="1220" w:type="dxa"/>
            <w:shd w:val="clear" w:color="auto" w:fill="FDE9D9" w:themeFill="accent6" w:themeFillTint="33"/>
            <w:noWrap/>
            <w:hideMark/>
          </w:tcPr>
          <w:p w:rsidR="004E6F6F" w:rsidRPr="00734669" w:rsidRDefault="004E6F6F" w:rsidP="004E6F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sv-SE"/>
              </w:rPr>
            </w:pPr>
            <w:r w:rsidRPr="00734669">
              <w:rPr>
                <w:rFonts w:ascii="Calibri" w:eastAsia="Times New Roman" w:hAnsi="Calibri" w:cs="Times New Roman"/>
                <w:color w:val="000000"/>
                <w:lang w:eastAsia="sv-SE"/>
              </w:rPr>
              <w:t>7</w:t>
            </w:r>
            <w:r>
              <w:rPr>
                <w:rFonts w:ascii="Calibri" w:eastAsia="Times New Roman" w:hAnsi="Calibri" w:cs="Times New Roman"/>
                <w:color w:val="000000"/>
                <w:lang w:eastAsia="sv-SE"/>
              </w:rPr>
              <w:t>9</w:t>
            </w:r>
          </w:p>
        </w:tc>
        <w:tc>
          <w:tcPr>
            <w:tcW w:w="2020" w:type="dxa"/>
            <w:shd w:val="clear" w:color="auto" w:fill="FDE9D9" w:themeFill="accent6" w:themeFillTint="33"/>
            <w:noWrap/>
            <w:hideMark/>
          </w:tcPr>
          <w:p w:rsidR="004E6F6F" w:rsidRPr="00734669" w:rsidRDefault="004E6F6F" w:rsidP="004E6F6F">
            <w:pPr>
              <w:ind w:firstLineChars="100" w:firstLine="23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sv-SE"/>
              </w:rPr>
            </w:pPr>
            <w:r w:rsidRPr="00734669">
              <w:rPr>
                <w:rFonts w:ascii="Calibri" w:eastAsia="Times New Roman" w:hAnsi="Calibri" w:cs="Times New Roman"/>
                <w:color w:val="000000"/>
                <w:lang w:eastAsia="sv-SE"/>
              </w:rPr>
              <w:t xml:space="preserve">140 000 </w:t>
            </w:r>
          </w:p>
        </w:tc>
        <w:tc>
          <w:tcPr>
            <w:tcW w:w="5080" w:type="dxa"/>
            <w:shd w:val="clear" w:color="auto" w:fill="FDE9D9" w:themeFill="accent6" w:themeFillTint="33"/>
            <w:hideMark/>
          </w:tcPr>
          <w:p w:rsidR="004E6F6F" w:rsidRPr="00734669" w:rsidRDefault="004E6F6F" w:rsidP="004E6F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sv-SE"/>
              </w:rPr>
            </w:pPr>
            <w:r w:rsidRPr="00734669">
              <w:rPr>
                <w:rFonts w:ascii="Calibri" w:eastAsia="Times New Roman" w:hAnsi="Calibri" w:cs="Times New Roman"/>
                <w:color w:val="000000"/>
                <w:lang w:eastAsia="sv-SE"/>
              </w:rPr>
              <w:t xml:space="preserve">Motorbranschavtalet,  </w:t>
            </w:r>
            <w:proofErr w:type="spellStart"/>
            <w:r w:rsidRPr="00734669">
              <w:rPr>
                <w:rFonts w:ascii="Calibri" w:eastAsia="Times New Roman" w:hAnsi="Calibri" w:cs="Times New Roman"/>
                <w:color w:val="000000"/>
                <w:lang w:eastAsia="sv-SE"/>
              </w:rPr>
              <w:t>Tjänstemannavtal</w:t>
            </w:r>
            <w:proofErr w:type="spellEnd"/>
            <w:r w:rsidRPr="00734669">
              <w:rPr>
                <w:rFonts w:ascii="Calibri" w:eastAsia="Times New Roman" w:hAnsi="Calibri" w:cs="Times New Roman"/>
                <w:color w:val="000000"/>
                <w:lang w:eastAsia="sv-SE"/>
              </w:rPr>
              <w:t xml:space="preserve"> inom Svensk Handel, Transportgruppen och Tjänsteförbunden (Apotek)</w:t>
            </w:r>
          </w:p>
        </w:tc>
      </w:tr>
      <w:tr w:rsidR="004E6F6F" w:rsidRPr="00734669" w:rsidTr="004E6F6F">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433" w:type="dxa"/>
            <w:noWrap/>
            <w:hideMark/>
          </w:tcPr>
          <w:p w:rsidR="004E6F6F" w:rsidRPr="00734669" w:rsidRDefault="004E6F6F" w:rsidP="004E6F6F">
            <w:pPr>
              <w:jc w:val="right"/>
              <w:rPr>
                <w:rFonts w:ascii="Calibri" w:eastAsia="Times New Roman" w:hAnsi="Calibri" w:cs="Times New Roman"/>
                <w:color w:val="000000"/>
                <w:lang w:eastAsia="sv-SE"/>
              </w:rPr>
            </w:pPr>
            <w:r w:rsidRPr="00734669">
              <w:rPr>
                <w:rFonts w:ascii="Calibri" w:eastAsia="Times New Roman" w:hAnsi="Calibri" w:cs="Times New Roman"/>
                <w:color w:val="000000"/>
                <w:lang w:eastAsia="sv-SE"/>
              </w:rPr>
              <w:t>2013-05-31</w:t>
            </w:r>
          </w:p>
        </w:tc>
        <w:tc>
          <w:tcPr>
            <w:tcW w:w="1220" w:type="dxa"/>
            <w:noWrap/>
            <w:hideMark/>
          </w:tcPr>
          <w:p w:rsidR="004E6F6F" w:rsidRPr="00734669" w:rsidRDefault="004E6F6F" w:rsidP="004E6F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sv-SE"/>
              </w:rPr>
            </w:pPr>
            <w:r>
              <w:rPr>
                <w:rFonts w:ascii="Calibri" w:eastAsia="Times New Roman" w:hAnsi="Calibri" w:cs="Times New Roman"/>
                <w:color w:val="000000"/>
                <w:lang w:eastAsia="sv-SE"/>
              </w:rPr>
              <w:t>82</w:t>
            </w:r>
          </w:p>
        </w:tc>
        <w:tc>
          <w:tcPr>
            <w:tcW w:w="2020" w:type="dxa"/>
            <w:noWrap/>
            <w:hideMark/>
          </w:tcPr>
          <w:p w:rsidR="004E6F6F" w:rsidRPr="00734669" w:rsidRDefault="004E6F6F" w:rsidP="004E6F6F">
            <w:pPr>
              <w:ind w:firstLineChars="100" w:firstLine="23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sv-SE"/>
              </w:rPr>
            </w:pPr>
            <w:r w:rsidRPr="00734669">
              <w:rPr>
                <w:rFonts w:ascii="Calibri" w:eastAsia="Times New Roman" w:hAnsi="Calibri" w:cs="Times New Roman"/>
                <w:color w:val="000000"/>
                <w:lang w:eastAsia="sv-SE"/>
              </w:rPr>
              <w:t xml:space="preserve">210 000 </w:t>
            </w:r>
          </w:p>
        </w:tc>
        <w:tc>
          <w:tcPr>
            <w:tcW w:w="5080" w:type="dxa"/>
            <w:hideMark/>
          </w:tcPr>
          <w:p w:rsidR="004E6F6F" w:rsidRPr="00734669" w:rsidRDefault="004E6F6F" w:rsidP="004E6F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sv-SE"/>
              </w:rPr>
            </w:pPr>
            <w:r w:rsidRPr="00734669">
              <w:rPr>
                <w:rFonts w:ascii="Calibri" w:eastAsia="Times New Roman" w:hAnsi="Calibri" w:cs="Times New Roman"/>
                <w:color w:val="000000"/>
                <w:lang w:eastAsia="sv-SE"/>
              </w:rPr>
              <w:t>Bussavtalet, Gröna avtalet, Hotell- och restaurangavtalet, Städentreprenadföretag, Fastighetsarbete</w:t>
            </w:r>
          </w:p>
        </w:tc>
      </w:tr>
      <w:tr w:rsidR="004E6F6F" w:rsidRPr="00734669" w:rsidTr="004E6F6F">
        <w:trPr>
          <w:trHeight w:val="900"/>
        </w:trPr>
        <w:tc>
          <w:tcPr>
            <w:cnfStyle w:val="001000000000" w:firstRow="0" w:lastRow="0" w:firstColumn="1" w:lastColumn="0" w:oddVBand="0" w:evenVBand="0" w:oddHBand="0" w:evenHBand="0" w:firstRowFirstColumn="0" w:firstRowLastColumn="0" w:lastRowFirstColumn="0" w:lastRowLastColumn="0"/>
            <w:tcW w:w="1433" w:type="dxa"/>
            <w:shd w:val="clear" w:color="auto" w:fill="FDE9D9" w:themeFill="accent6" w:themeFillTint="33"/>
            <w:noWrap/>
            <w:hideMark/>
          </w:tcPr>
          <w:p w:rsidR="004E6F6F" w:rsidRPr="00734669" w:rsidRDefault="004E6F6F" w:rsidP="004E6F6F">
            <w:pPr>
              <w:jc w:val="right"/>
              <w:rPr>
                <w:rFonts w:ascii="Calibri" w:eastAsia="Times New Roman" w:hAnsi="Calibri" w:cs="Times New Roman"/>
                <w:color w:val="000000"/>
                <w:lang w:eastAsia="sv-SE"/>
              </w:rPr>
            </w:pPr>
            <w:r w:rsidRPr="00734669">
              <w:rPr>
                <w:rFonts w:ascii="Calibri" w:eastAsia="Times New Roman" w:hAnsi="Calibri" w:cs="Times New Roman"/>
                <w:color w:val="000000"/>
                <w:lang w:eastAsia="sv-SE"/>
              </w:rPr>
              <w:t>2013-06-30</w:t>
            </w:r>
          </w:p>
        </w:tc>
        <w:tc>
          <w:tcPr>
            <w:tcW w:w="1220" w:type="dxa"/>
            <w:shd w:val="clear" w:color="auto" w:fill="FDE9D9" w:themeFill="accent6" w:themeFillTint="33"/>
            <w:noWrap/>
            <w:hideMark/>
          </w:tcPr>
          <w:p w:rsidR="004E6F6F" w:rsidRPr="00734669" w:rsidRDefault="004E6F6F" w:rsidP="004E6F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sv-SE"/>
              </w:rPr>
            </w:pPr>
            <w:r w:rsidRPr="00734669">
              <w:rPr>
                <w:rFonts w:ascii="Calibri" w:eastAsia="Times New Roman" w:hAnsi="Calibri" w:cs="Times New Roman"/>
                <w:color w:val="000000"/>
                <w:lang w:eastAsia="sv-SE"/>
              </w:rPr>
              <w:t>20</w:t>
            </w:r>
          </w:p>
        </w:tc>
        <w:tc>
          <w:tcPr>
            <w:tcW w:w="2020" w:type="dxa"/>
            <w:shd w:val="clear" w:color="auto" w:fill="FDE9D9" w:themeFill="accent6" w:themeFillTint="33"/>
            <w:noWrap/>
            <w:hideMark/>
          </w:tcPr>
          <w:p w:rsidR="004E6F6F" w:rsidRPr="00734669" w:rsidRDefault="004E6F6F" w:rsidP="004E6F6F">
            <w:pPr>
              <w:ind w:firstLineChars="100" w:firstLine="23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sv-SE"/>
              </w:rPr>
            </w:pPr>
            <w:r w:rsidRPr="00734669">
              <w:rPr>
                <w:rFonts w:ascii="Calibri" w:eastAsia="Times New Roman" w:hAnsi="Calibri" w:cs="Times New Roman"/>
                <w:color w:val="000000"/>
                <w:lang w:eastAsia="sv-SE"/>
              </w:rPr>
              <w:t xml:space="preserve">39 000 </w:t>
            </w:r>
          </w:p>
        </w:tc>
        <w:tc>
          <w:tcPr>
            <w:tcW w:w="5080" w:type="dxa"/>
            <w:shd w:val="clear" w:color="auto" w:fill="FDE9D9" w:themeFill="accent6" w:themeFillTint="33"/>
            <w:hideMark/>
          </w:tcPr>
          <w:p w:rsidR="004E6F6F" w:rsidRPr="00734669" w:rsidRDefault="004E6F6F" w:rsidP="004E6F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sv-SE"/>
              </w:rPr>
            </w:pPr>
            <w:r w:rsidRPr="00734669">
              <w:rPr>
                <w:rFonts w:ascii="Calibri" w:eastAsia="Times New Roman" w:hAnsi="Calibri" w:cs="Times New Roman"/>
                <w:color w:val="000000"/>
                <w:lang w:eastAsia="sv-SE"/>
              </w:rPr>
              <w:t xml:space="preserve">Samhall (LO-förbunden),  Explosivämnesindustri. Läder- och </w:t>
            </w:r>
            <w:proofErr w:type="spellStart"/>
            <w:r w:rsidRPr="00734669">
              <w:rPr>
                <w:rFonts w:ascii="Calibri" w:eastAsia="Times New Roman" w:hAnsi="Calibri" w:cs="Times New Roman"/>
                <w:color w:val="000000"/>
                <w:lang w:eastAsia="sv-SE"/>
              </w:rPr>
              <w:t>sportartiklindustri</w:t>
            </w:r>
            <w:proofErr w:type="spellEnd"/>
            <w:r w:rsidRPr="00734669">
              <w:rPr>
                <w:rFonts w:ascii="Calibri" w:eastAsia="Times New Roman" w:hAnsi="Calibri" w:cs="Times New Roman"/>
                <w:color w:val="000000"/>
                <w:lang w:eastAsia="sv-SE"/>
              </w:rPr>
              <w:t xml:space="preserve">, Stenindustri, </w:t>
            </w:r>
            <w:proofErr w:type="spellStart"/>
            <w:r w:rsidRPr="00734669">
              <w:rPr>
                <w:rFonts w:ascii="Calibri" w:eastAsia="Times New Roman" w:hAnsi="Calibri" w:cs="Times New Roman"/>
                <w:color w:val="000000"/>
                <w:lang w:eastAsia="sv-SE"/>
              </w:rPr>
              <w:t>Tvättindustri</w:t>
            </w:r>
            <w:proofErr w:type="spellEnd"/>
            <w:r w:rsidRPr="00734669">
              <w:rPr>
                <w:rFonts w:ascii="Calibri" w:eastAsia="Times New Roman" w:hAnsi="Calibri" w:cs="Times New Roman"/>
                <w:color w:val="000000"/>
                <w:lang w:eastAsia="sv-SE"/>
              </w:rPr>
              <w:t xml:space="preserve"> , Taxiavtalet (förare)</w:t>
            </w:r>
          </w:p>
        </w:tc>
      </w:tr>
      <w:tr w:rsidR="004E6F6F" w:rsidRPr="00734669" w:rsidTr="004E6F6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433" w:type="dxa"/>
            <w:noWrap/>
            <w:hideMark/>
          </w:tcPr>
          <w:p w:rsidR="004E6F6F" w:rsidRPr="00734669" w:rsidRDefault="004E6F6F" w:rsidP="004E6F6F">
            <w:pPr>
              <w:jc w:val="right"/>
              <w:rPr>
                <w:rFonts w:ascii="Calibri" w:eastAsia="Times New Roman" w:hAnsi="Calibri" w:cs="Times New Roman"/>
                <w:color w:val="000000"/>
                <w:lang w:eastAsia="sv-SE"/>
              </w:rPr>
            </w:pPr>
            <w:r w:rsidRPr="00734669">
              <w:rPr>
                <w:rFonts w:ascii="Calibri" w:eastAsia="Times New Roman" w:hAnsi="Calibri" w:cs="Times New Roman"/>
                <w:color w:val="000000"/>
                <w:lang w:eastAsia="sv-SE"/>
              </w:rPr>
              <w:lastRenderedPageBreak/>
              <w:t>2013-07-31</w:t>
            </w:r>
          </w:p>
        </w:tc>
        <w:tc>
          <w:tcPr>
            <w:tcW w:w="1220" w:type="dxa"/>
            <w:noWrap/>
            <w:hideMark/>
          </w:tcPr>
          <w:p w:rsidR="004E6F6F" w:rsidRPr="00734669" w:rsidRDefault="004E6F6F" w:rsidP="004E6F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sv-SE"/>
              </w:rPr>
            </w:pPr>
            <w:r w:rsidRPr="00734669">
              <w:rPr>
                <w:rFonts w:ascii="Calibri" w:eastAsia="Times New Roman" w:hAnsi="Calibri" w:cs="Times New Roman"/>
                <w:color w:val="000000"/>
                <w:lang w:eastAsia="sv-SE"/>
              </w:rPr>
              <w:t>2</w:t>
            </w:r>
          </w:p>
        </w:tc>
        <w:tc>
          <w:tcPr>
            <w:tcW w:w="2020" w:type="dxa"/>
            <w:noWrap/>
            <w:hideMark/>
          </w:tcPr>
          <w:p w:rsidR="004E6F6F" w:rsidRPr="00734669" w:rsidRDefault="004E6F6F" w:rsidP="004E6F6F">
            <w:pPr>
              <w:ind w:firstLineChars="100" w:firstLine="23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sv-SE"/>
              </w:rPr>
            </w:pPr>
            <w:r w:rsidRPr="00734669">
              <w:rPr>
                <w:rFonts w:ascii="Calibri" w:eastAsia="Times New Roman" w:hAnsi="Calibri" w:cs="Times New Roman"/>
                <w:color w:val="000000"/>
                <w:lang w:eastAsia="sv-SE"/>
              </w:rPr>
              <w:t xml:space="preserve">22 000 </w:t>
            </w:r>
          </w:p>
        </w:tc>
        <w:tc>
          <w:tcPr>
            <w:tcW w:w="5080" w:type="dxa"/>
            <w:hideMark/>
          </w:tcPr>
          <w:p w:rsidR="004E6F6F" w:rsidRPr="00734669" w:rsidRDefault="004E6F6F" w:rsidP="004E6F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sv-SE"/>
              </w:rPr>
            </w:pPr>
            <w:r w:rsidRPr="00734669">
              <w:rPr>
                <w:rFonts w:ascii="Calibri" w:eastAsia="Times New Roman" w:hAnsi="Calibri" w:cs="Times New Roman"/>
                <w:color w:val="000000"/>
                <w:lang w:eastAsia="sv-SE"/>
              </w:rPr>
              <w:t>Personliga assistenter (KFO), Ambulanssjukvårdare (Vårdföretagarna)</w:t>
            </w:r>
          </w:p>
        </w:tc>
      </w:tr>
      <w:tr w:rsidR="004E6F6F" w:rsidRPr="00734669" w:rsidTr="004E6F6F">
        <w:trPr>
          <w:trHeight w:val="900"/>
        </w:trPr>
        <w:tc>
          <w:tcPr>
            <w:cnfStyle w:val="001000000000" w:firstRow="0" w:lastRow="0" w:firstColumn="1" w:lastColumn="0" w:oddVBand="0" w:evenVBand="0" w:oddHBand="0" w:evenHBand="0" w:firstRowFirstColumn="0" w:firstRowLastColumn="0" w:lastRowFirstColumn="0" w:lastRowLastColumn="0"/>
            <w:tcW w:w="1433" w:type="dxa"/>
            <w:shd w:val="clear" w:color="auto" w:fill="FDE9D9" w:themeFill="accent6" w:themeFillTint="33"/>
            <w:noWrap/>
            <w:hideMark/>
          </w:tcPr>
          <w:p w:rsidR="004E6F6F" w:rsidRPr="00734669" w:rsidRDefault="004E6F6F" w:rsidP="004E6F6F">
            <w:pPr>
              <w:jc w:val="right"/>
              <w:rPr>
                <w:rFonts w:ascii="Calibri" w:eastAsia="Times New Roman" w:hAnsi="Calibri" w:cs="Times New Roman"/>
                <w:color w:val="000000"/>
                <w:lang w:eastAsia="sv-SE"/>
              </w:rPr>
            </w:pPr>
            <w:r w:rsidRPr="00734669">
              <w:rPr>
                <w:rFonts w:ascii="Calibri" w:eastAsia="Times New Roman" w:hAnsi="Calibri" w:cs="Times New Roman"/>
                <w:color w:val="000000"/>
                <w:lang w:eastAsia="sv-SE"/>
              </w:rPr>
              <w:t>2013-08-31</w:t>
            </w:r>
          </w:p>
        </w:tc>
        <w:tc>
          <w:tcPr>
            <w:tcW w:w="1220" w:type="dxa"/>
            <w:shd w:val="clear" w:color="auto" w:fill="FDE9D9" w:themeFill="accent6" w:themeFillTint="33"/>
            <w:noWrap/>
            <w:hideMark/>
          </w:tcPr>
          <w:p w:rsidR="004E6F6F" w:rsidRPr="00734669" w:rsidRDefault="004E6F6F" w:rsidP="004E6F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sv-SE"/>
              </w:rPr>
            </w:pPr>
            <w:r w:rsidRPr="00734669">
              <w:rPr>
                <w:rFonts w:ascii="Calibri" w:eastAsia="Times New Roman" w:hAnsi="Calibri" w:cs="Times New Roman"/>
                <w:color w:val="000000"/>
                <w:lang w:eastAsia="sv-SE"/>
              </w:rPr>
              <w:t>12</w:t>
            </w:r>
          </w:p>
        </w:tc>
        <w:tc>
          <w:tcPr>
            <w:tcW w:w="2020" w:type="dxa"/>
            <w:shd w:val="clear" w:color="auto" w:fill="FDE9D9" w:themeFill="accent6" w:themeFillTint="33"/>
            <w:noWrap/>
            <w:hideMark/>
          </w:tcPr>
          <w:p w:rsidR="004E6F6F" w:rsidRPr="00734669" w:rsidRDefault="004E6F6F" w:rsidP="004E6F6F">
            <w:pPr>
              <w:ind w:firstLineChars="100" w:firstLine="23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sv-SE"/>
              </w:rPr>
            </w:pPr>
            <w:r w:rsidRPr="00734669">
              <w:rPr>
                <w:rFonts w:ascii="Calibri" w:eastAsia="Times New Roman" w:hAnsi="Calibri" w:cs="Times New Roman"/>
                <w:color w:val="000000"/>
                <w:lang w:eastAsia="sv-SE"/>
              </w:rPr>
              <w:t xml:space="preserve">19 000 </w:t>
            </w:r>
          </w:p>
        </w:tc>
        <w:tc>
          <w:tcPr>
            <w:tcW w:w="5080" w:type="dxa"/>
            <w:shd w:val="clear" w:color="auto" w:fill="FDE9D9" w:themeFill="accent6" w:themeFillTint="33"/>
            <w:hideMark/>
          </w:tcPr>
          <w:p w:rsidR="004E6F6F" w:rsidRPr="00734669" w:rsidRDefault="004E6F6F" w:rsidP="004E6F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sv-SE"/>
              </w:rPr>
            </w:pPr>
            <w:r w:rsidRPr="00734669">
              <w:rPr>
                <w:rFonts w:ascii="Calibri" w:eastAsia="Times New Roman" w:hAnsi="Calibri" w:cs="Times New Roman"/>
                <w:color w:val="000000"/>
                <w:lang w:eastAsia="sv-SE"/>
              </w:rPr>
              <w:t xml:space="preserve">Friskolor (Tjänsteföretagen och </w:t>
            </w:r>
            <w:proofErr w:type="spellStart"/>
            <w:r w:rsidRPr="00734669">
              <w:rPr>
                <w:rFonts w:ascii="Calibri" w:eastAsia="Times New Roman" w:hAnsi="Calibri" w:cs="Times New Roman"/>
                <w:color w:val="000000"/>
                <w:lang w:eastAsia="sv-SE"/>
              </w:rPr>
              <w:t>Idea</w:t>
            </w:r>
            <w:proofErr w:type="spellEnd"/>
            <w:r w:rsidRPr="00734669">
              <w:rPr>
                <w:rFonts w:ascii="Calibri" w:eastAsia="Times New Roman" w:hAnsi="Calibri" w:cs="Times New Roman"/>
                <w:color w:val="000000"/>
                <w:lang w:eastAsia="sv-SE"/>
              </w:rPr>
              <w:t>), Förskolor och fristående skolor, Hushållsnära tjänster (KFO), Hamn- och stuveriavtalet</w:t>
            </w:r>
          </w:p>
        </w:tc>
      </w:tr>
      <w:tr w:rsidR="004E6F6F" w:rsidRPr="00734669" w:rsidTr="004E6F6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433" w:type="dxa"/>
            <w:shd w:val="clear" w:color="auto" w:fill="auto"/>
            <w:noWrap/>
            <w:hideMark/>
          </w:tcPr>
          <w:p w:rsidR="004E6F6F" w:rsidRPr="00734669" w:rsidRDefault="004E6F6F" w:rsidP="004E6F6F">
            <w:pPr>
              <w:jc w:val="right"/>
              <w:rPr>
                <w:rFonts w:ascii="Calibri" w:eastAsia="Times New Roman" w:hAnsi="Calibri" w:cs="Times New Roman"/>
                <w:color w:val="000000"/>
                <w:lang w:eastAsia="sv-SE"/>
              </w:rPr>
            </w:pPr>
            <w:r w:rsidRPr="00734669">
              <w:rPr>
                <w:rFonts w:ascii="Calibri" w:eastAsia="Times New Roman" w:hAnsi="Calibri" w:cs="Times New Roman"/>
                <w:color w:val="000000"/>
                <w:lang w:eastAsia="sv-SE"/>
              </w:rPr>
              <w:t>2013-09-30</w:t>
            </w:r>
          </w:p>
        </w:tc>
        <w:tc>
          <w:tcPr>
            <w:tcW w:w="1220" w:type="dxa"/>
            <w:shd w:val="clear" w:color="auto" w:fill="auto"/>
            <w:noWrap/>
            <w:hideMark/>
          </w:tcPr>
          <w:p w:rsidR="004E6F6F" w:rsidRPr="00734669" w:rsidRDefault="004E6F6F" w:rsidP="004E6F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sv-SE"/>
              </w:rPr>
            </w:pPr>
            <w:r w:rsidRPr="00734669">
              <w:rPr>
                <w:rFonts w:ascii="Calibri" w:eastAsia="Times New Roman" w:hAnsi="Calibri" w:cs="Times New Roman"/>
                <w:color w:val="000000"/>
                <w:lang w:eastAsia="sv-SE"/>
              </w:rPr>
              <w:t>15</w:t>
            </w:r>
          </w:p>
        </w:tc>
        <w:tc>
          <w:tcPr>
            <w:tcW w:w="2020" w:type="dxa"/>
            <w:shd w:val="clear" w:color="auto" w:fill="auto"/>
            <w:noWrap/>
            <w:hideMark/>
          </w:tcPr>
          <w:p w:rsidR="004E6F6F" w:rsidRPr="00734669" w:rsidRDefault="004E6F6F" w:rsidP="004E6F6F">
            <w:pPr>
              <w:ind w:firstLineChars="100" w:firstLine="23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sv-SE"/>
              </w:rPr>
            </w:pPr>
            <w:r w:rsidRPr="00734669">
              <w:rPr>
                <w:rFonts w:ascii="Calibri" w:eastAsia="Times New Roman" w:hAnsi="Calibri" w:cs="Times New Roman"/>
                <w:color w:val="000000"/>
                <w:lang w:eastAsia="sv-SE"/>
              </w:rPr>
              <w:t xml:space="preserve">122 000 </w:t>
            </w:r>
          </w:p>
        </w:tc>
        <w:tc>
          <w:tcPr>
            <w:tcW w:w="5080" w:type="dxa"/>
            <w:shd w:val="clear" w:color="auto" w:fill="auto"/>
            <w:hideMark/>
          </w:tcPr>
          <w:p w:rsidR="004E6F6F" w:rsidRPr="00734669" w:rsidRDefault="004E6F6F" w:rsidP="004E6F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sv-SE"/>
              </w:rPr>
            </w:pPr>
            <w:r w:rsidRPr="00734669">
              <w:rPr>
                <w:rFonts w:ascii="Calibri" w:eastAsia="Times New Roman" w:hAnsi="Calibri" w:cs="Times New Roman"/>
                <w:color w:val="000000"/>
                <w:lang w:eastAsia="sv-SE"/>
              </w:rPr>
              <w:t>Statliga avtal (OFR/S, P, O och SEKO) KFS-Pass, Civil- och flygfraktsavtalen, Skärgårdstrafikavtalet</w:t>
            </w:r>
          </w:p>
        </w:tc>
      </w:tr>
      <w:tr w:rsidR="004E6F6F" w:rsidRPr="00734669" w:rsidTr="004E6F6F">
        <w:trPr>
          <w:trHeight w:val="900"/>
        </w:trPr>
        <w:tc>
          <w:tcPr>
            <w:cnfStyle w:val="001000000000" w:firstRow="0" w:lastRow="0" w:firstColumn="1" w:lastColumn="0" w:oddVBand="0" w:evenVBand="0" w:oddHBand="0" w:evenHBand="0" w:firstRowFirstColumn="0" w:firstRowLastColumn="0" w:lastRowFirstColumn="0" w:lastRowLastColumn="0"/>
            <w:tcW w:w="1433" w:type="dxa"/>
            <w:shd w:val="clear" w:color="auto" w:fill="FDE9D9" w:themeFill="accent6" w:themeFillTint="33"/>
            <w:noWrap/>
            <w:hideMark/>
          </w:tcPr>
          <w:p w:rsidR="004E6F6F" w:rsidRPr="00734669" w:rsidRDefault="004E6F6F" w:rsidP="004E6F6F">
            <w:pPr>
              <w:jc w:val="right"/>
              <w:rPr>
                <w:rFonts w:ascii="Calibri" w:eastAsia="Times New Roman" w:hAnsi="Calibri" w:cs="Times New Roman"/>
                <w:color w:val="000000"/>
                <w:lang w:eastAsia="sv-SE"/>
              </w:rPr>
            </w:pPr>
            <w:r w:rsidRPr="00734669">
              <w:rPr>
                <w:rFonts w:ascii="Calibri" w:eastAsia="Times New Roman" w:hAnsi="Calibri" w:cs="Times New Roman"/>
                <w:color w:val="000000"/>
                <w:lang w:eastAsia="sv-SE"/>
              </w:rPr>
              <w:t>2013-10-31</w:t>
            </w:r>
          </w:p>
        </w:tc>
        <w:tc>
          <w:tcPr>
            <w:tcW w:w="1220" w:type="dxa"/>
            <w:shd w:val="clear" w:color="auto" w:fill="FDE9D9" w:themeFill="accent6" w:themeFillTint="33"/>
            <w:noWrap/>
            <w:hideMark/>
          </w:tcPr>
          <w:p w:rsidR="004E6F6F" w:rsidRPr="00734669" w:rsidRDefault="004E6F6F" w:rsidP="004E6F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sv-SE"/>
              </w:rPr>
            </w:pPr>
            <w:r w:rsidRPr="00734669">
              <w:rPr>
                <w:rFonts w:ascii="Calibri" w:eastAsia="Times New Roman" w:hAnsi="Calibri" w:cs="Times New Roman"/>
                <w:color w:val="000000"/>
                <w:lang w:eastAsia="sv-SE"/>
              </w:rPr>
              <w:t>4</w:t>
            </w:r>
          </w:p>
        </w:tc>
        <w:tc>
          <w:tcPr>
            <w:tcW w:w="2020" w:type="dxa"/>
            <w:shd w:val="clear" w:color="auto" w:fill="FDE9D9" w:themeFill="accent6" w:themeFillTint="33"/>
            <w:noWrap/>
            <w:hideMark/>
          </w:tcPr>
          <w:p w:rsidR="004E6F6F" w:rsidRPr="00734669" w:rsidRDefault="004E6F6F" w:rsidP="004E6F6F">
            <w:pPr>
              <w:ind w:firstLineChars="100" w:firstLine="23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sv-SE"/>
              </w:rPr>
            </w:pPr>
            <w:r w:rsidRPr="00734669">
              <w:rPr>
                <w:rFonts w:ascii="Calibri" w:eastAsia="Times New Roman" w:hAnsi="Calibri" w:cs="Times New Roman"/>
                <w:color w:val="000000"/>
                <w:lang w:eastAsia="sv-SE"/>
              </w:rPr>
              <w:t xml:space="preserve">45 000 </w:t>
            </w:r>
          </w:p>
        </w:tc>
        <w:tc>
          <w:tcPr>
            <w:tcW w:w="5080" w:type="dxa"/>
            <w:shd w:val="clear" w:color="auto" w:fill="FDE9D9" w:themeFill="accent6" w:themeFillTint="33"/>
            <w:hideMark/>
          </w:tcPr>
          <w:p w:rsidR="004E6F6F" w:rsidRPr="00734669" w:rsidRDefault="004E6F6F" w:rsidP="004E6F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sv-SE"/>
              </w:rPr>
            </w:pPr>
            <w:r w:rsidRPr="00734669">
              <w:rPr>
                <w:rFonts w:ascii="Calibri" w:eastAsia="Times New Roman" w:hAnsi="Calibri" w:cs="Times New Roman"/>
                <w:color w:val="000000"/>
                <w:lang w:eastAsia="sv-SE"/>
              </w:rPr>
              <w:t xml:space="preserve">Flygtekniker med typcertifikat, Vård och Behandling och Äldreomsorg (Vårdföretagarna), </w:t>
            </w:r>
            <w:proofErr w:type="spellStart"/>
            <w:r w:rsidRPr="00734669">
              <w:rPr>
                <w:rFonts w:ascii="Calibri" w:eastAsia="Times New Roman" w:hAnsi="Calibri" w:cs="Times New Roman"/>
                <w:color w:val="000000"/>
                <w:lang w:eastAsia="sv-SE"/>
              </w:rPr>
              <w:t>Callcontact</w:t>
            </w:r>
            <w:proofErr w:type="spellEnd"/>
            <w:r w:rsidRPr="00734669">
              <w:rPr>
                <w:rFonts w:ascii="Calibri" w:eastAsia="Times New Roman" w:hAnsi="Calibri" w:cs="Times New Roman"/>
                <w:color w:val="000000"/>
                <w:lang w:eastAsia="sv-SE"/>
              </w:rPr>
              <w:t>-centeravtalet</w:t>
            </w:r>
          </w:p>
        </w:tc>
      </w:tr>
      <w:tr w:rsidR="004E6F6F" w:rsidRPr="00734669" w:rsidTr="004E6F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33" w:type="dxa"/>
            <w:shd w:val="clear" w:color="auto" w:fill="auto"/>
            <w:noWrap/>
            <w:hideMark/>
          </w:tcPr>
          <w:p w:rsidR="004E6F6F" w:rsidRPr="00734669" w:rsidRDefault="004E6F6F" w:rsidP="004E6F6F">
            <w:pPr>
              <w:jc w:val="right"/>
              <w:rPr>
                <w:rFonts w:ascii="Calibri" w:eastAsia="Times New Roman" w:hAnsi="Calibri" w:cs="Times New Roman"/>
                <w:color w:val="000000"/>
                <w:lang w:eastAsia="sv-SE"/>
              </w:rPr>
            </w:pPr>
            <w:r w:rsidRPr="00734669">
              <w:rPr>
                <w:rFonts w:ascii="Calibri" w:eastAsia="Times New Roman" w:hAnsi="Calibri" w:cs="Times New Roman"/>
                <w:color w:val="000000"/>
                <w:lang w:eastAsia="sv-SE"/>
              </w:rPr>
              <w:t>2013-11-30</w:t>
            </w:r>
          </w:p>
        </w:tc>
        <w:tc>
          <w:tcPr>
            <w:tcW w:w="1220" w:type="dxa"/>
            <w:shd w:val="clear" w:color="auto" w:fill="auto"/>
            <w:noWrap/>
            <w:hideMark/>
          </w:tcPr>
          <w:p w:rsidR="004E6F6F" w:rsidRPr="00734669" w:rsidRDefault="004E6F6F" w:rsidP="004E6F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sv-SE"/>
              </w:rPr>
            </w:pPr>
            <w:r w:rsidRPr="00734669">
              <w:rPr>
                <w:rFonts w:ascii="Calibri" w:eastAsia="Times New Roman" w:hAnsi="Calibri" w:cs="Times New Roman"/>
                <w:color w:val="000000"/>
                <w:lang w:eastAsia="sv-SE"/>
              </w:rPr>
              <w:t>-</w:t>
            </w:r>
          </w:p>
        </w:tc>
        <w:tc>
          <w:tcPr>
            <w:tcW w:w="2020" w:type="dxa"/>
            <w:shd w:val="clear" w:color="auto" w:fill="auto"/>
            <w:noWrap/>
            <w:hideMark/>
          </w:tcPr>
          <w:p w:rsidR="004E6F6F" w:rsidRPr="00734669" w:rsidRDefault="004E6F6F" w:rsidP="004E6F6F">
            <w:pPr>
              <w:ind w:firstLineChars="100" w:firstLine="23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sv-SE"/>
              </w:rPr>
            </w:pPr>
            <w:r w:rsidRPr="00734669">
              <w:rPr>
                <w:rFonts w:ascii="Calibri" w:eastAsia="Times New Roman" w:hAnsi="Calibri" w:cs="Times New Roman"/>
                <w:color w:val="000000"/>
                <w:lang w:eastAsia="sv-SE"/>
              </w:rPr>
              <w:t>-</w:t>
            </w:r>
          </w:p>
        </w:tc>
        <w:tc>
          <w:tcPr>
            <w:tcW w:w="5080" w:type="dxa"/>
            <w:shd w:val="clear" w:color="auto" w:fill="auto"/>
            <w:noWrap/>
            <w:hideMark/>
          </w:tcPr>
          <w:p w:rsidR="004E6F6F" w:rsidRPr="00734669" w:rsidRDefault="004E6F6F" w:rsidP="004E6F6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sv-SE"/>
              </w:rPr>
            </w:pPr>
          </w:p>
        </w:tc>
      </w:tr>
      <w:tr w:rsidR="004E6F6F" w:rsidRPr="00734669" w:rsidTr="004E6F6F">
        <w:trPr>
          <w:trHeight w:val="600"/>
        </w:trPr>
        <w:tc>
          <w:tcPr>
            <w:cnfStyle w:val="001000000000" w:firstRow="0" w:lastRow="0" w:firstColumn="1" w:lastColumn="0" w:oddVBand="0" w:evenVBand="0" w:oddHBand="0" w:evenHBand="0" w:firstRowFirstColumn="0" w:firstRowLastColumn="0" w:lastRowFirstColumn="0" w:lastRowLastColumn="0"/>
            <w:tcW w:w="1433" w:type="dxa"/>
            <w:shd w:val="clear" w:color="auto" w:fill="FDE9D9" w:themeFill="accent6" w:themeFillTint="33"/>
            <w:noWrap/>
            <w:hideMark/>
          </w:tcPr>
          <w:p w:rsidR="004E6F6F" w:rsidRPr="00734669" w:rsidRDefault="004E6F6F" w:rsidP="004E6F6F">
            <w:pPr>
              <w:jc w:val="right"/>
              <w:rPr>
                <w:rFonts w:ascii="Calibri" w:eastAsia="Times New Roman" w:hAnsi="Calibri" w:cs="Times New Roman"/>
                <w:color w:val="000000"/>
                <w:lang w:eastAsia="sv-SE"/>
              </w:rPr>
            </w:pPr>
            <w:r w:rsidRPr="00734669">
              <w:rPr>
                <w:rFonts w:ascii="Calibri" w:eastAsia="Times New Roman" w:hAnsi="Calibri" w:cs="Times New Roman"/>
                <w:color w:val="000000"/>
                <w:lang w:eastAsia="sv-SE"/>
              </w:rPr>
              <w:t>2013-12-31</w:t>
            </w:r>
          </w:p>
        </w:tc>
        <w:tc>
          <w:tcPr>
            <w:tcW w:w="1220" w:type="dxa"/>
            <w:shd w:val="clear" w:color="auto" w:fill="FDE9D9" w:themeFill="accent6" w:themeFillTint="33"/>
            <w:noWrap/>
            <w:hideMark/>
          </w:tcPr>
          <w:p w:rsidR="004E6F6F" w:rsidRPr="00734669" w:rsidRDefault="004E6F6F" w:rsidP="004E6F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sv-SE"/>
              </w:rPr>
            </w:pPr>
            <w:r w:rsidRPr="00734669">
              <w:rPr>
                <w:rFonts w:ascii="Calibri" w:eastAsia="Times New Roman" w:hAnsi="Calibri" w:cs="Times New Roman"/>
                <w:color w:val="000000"/>
                <w:lang w:eastAsia="sv-SE"/>
              </w:rPr>
              <w:t>10</w:t>
            </w:r>
          </w:p>
        </w:tc>
        <w:tc>
          <w:tcPr>
            <w:tcW w:w="2020" w:type="dxa"/>
            <w:shd w:val="clear" w:color="auto" w:fill="FDE9D9" w:themeFill="accent6" w:themeFillTint="33"/>
            <w:noWrap/>
            <w:hideMark/>
          </w:tcPr>
          <w:p w:rsidR="004E6F6F" w:rsidRPr="00734669" w:rsidRDefault="004E6F6F" w:rsidP="004E6F6F">
            <w:pPr>
              <w:ind w:firstLineChars="100" w:firstLine="23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sv-SE"/>
              </w:rPr>
            </w:pPr>
            <w:r w:rsidRPr="00734669">
              <w:rPr>
                <w:rFonts w:ascii="Calibri" w:eastAsia="Times New Roman" w:hAnsi="Calibri" w:cs="Times New Roman"/>
                <w:color w:val="000000"/>
                <w:lang w:eastAsia="sv-SE"/>
              </w:rPr>
              <w:t xml:space="preserve">12 000 </w:t>
            </w:r>
          </w:p>
        </w:tc>
        <w:tc>
          <w:tcPr>
            <w:tcW w:w="5080" w:type="dxa"/>
            <w:shd w:val="clear" w:color="auto" w:fill="FDE9D9" w:themeFill="accent6" w:themeFillTint="33"/>
            <w:hideMark/>
          </w:tcPr>
          <w:p w:rsidR="004E6F6F" w:rsidRPr="00734669" w:rsidRDefault="004E6F6F" w:rsidP="004E6F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sv-SE"/>
              </w:rPr>
            </w:pPr>
            <w:r w:rsidRPr="00734669">
              <w:rPr>
                <w:rFonts w:ascii="Calibri" w:eastAsia="Times New Roman" w:hAnsi="Calibri" w:cs="Times New Roman"/>
                <w:color w:val="000000"/>
                <w:lang w:eastAsia="sv-SE"/>
              </w:rPr>
              <w:t>Akademiker i försäkringsbranschen respektive banksektorn</w:t>
            </w:r>
          </w:p>
        </w:tc>
      </w:tr>
    </w:tbl>
    <w:p w:rsidR="004E6F6F" w:rsidRPr="00734669" w:rsidRDefault="004E6F6F" w:rsidP="004E6F6F">
      <w:pPr>
        <w:spacing w:after="0" w:line="240" w:lineRule="auto"/>
        <w:rPr>
          <w:rFonts w:ascii="Calibri" w:hAnsi="Calibri"/>
          <w:color w:val="000000"/>
          <w:lang w:eastAsia="sv-SE"/>
        </w:rPr>
      </w:pPr>
    </w:p>
    <w:p w:rsidR="004E6F6F" w:rsidRDefault="004E6F6F" w:rsidP="004E6F6F">
      <w:r>
        <w:br w:type="page"/>
      </w:r>
    </w:p>
    <w:p w:rsidR="00062AA9" w:rsidRPr="000D73BC" w:rsidRDefault="00062AA9" w:rsidP="00062AA9">
      <w:pPr>
        <w:shd w:val="clear" w:color="auto" w:fill="FFFFFF"/>
        <w:spacing w:before="100" w:beforeAutospacing="1" w:after="48" w:line="264" w:lineRule="atLeast"/>
        <w:outlineLvl w:val="1"/>
        <w:rPr>
          <w:rFonts w:ascii="Verdana" w:hAnsi="Verdana"/>
          <w:b/>
          <w:bCs/>
          <w:sz w:val="27"/>
          <w:szCs w:val="27"/>
          <w:lang w:eastAsia="sv-SE"/>
        </w:rPr>
      </w:pPr>
      <w:r w:rsidRPr="000D73BC">
        <w:rPr>
          <w:rFonts w:ascii="Verdana" w:hAnsi="Verdana"/>
          <w:b/>
          <w:bCs/>
          <w:sz w:val="27"/>
          <w:szCs w:val="27"/>
          <w:lang w:eastAsia="sv-SE"/>
        </w:rPr>
        <w:lastRenderedPageBreak/>
        <w:t>Förordning (2007:912) med instruktion för Medlingsinstitutet</w:t>
      </w:r>
    </w:p>
    <w:p w:rsidR="00062AA9" w:rsidRPr="000D73BC" w:rsidRDefault="00062AA9" w:rsidP="00062AA9">
      <w:pPr>
        <w:shd w:val="clear" w:color="auto" w:fill="FFFFFF"/>
        <w:spacing w:after="0" w:line="240" w:lineRule="auto"/>
        <w:rPr>
          <w:sz w:val="22"/>
          <w:szCs w:val="22"/>
          <w:lang w:eastAsia="sv-SE"/>
        </w:rPr>
      </w:pPr>
      <w:r w:rsidRPr="000D73BC">
        <w:rPr>
          <w:b/>
          <w:bCs/>
          <w:sz w:val="22"/>
          <w:szCs w:val="22"/>
          <w:lang w:eastAsia="sv-SE"/>
        </w:rPr>
        <w:t>SFS nr</w:t>
      </w:r>
      <w:r w:rsidRPr="000D73BC">
        <w:rPr>
          <w:sz w:val="22"/>
          <w:szCs w:val="22"/>
          <w:lang w:eastAsia="sv-SE"/>
        </w:rPr>
        <w:t>: 2007:912</w:t>
      </w:r>
      <w:r w:rsidRPr="000D73BC">
        <w:rPr>
          <w:sz w:val="22"/>
          <w:szCs w:val="22"/>
          <w:lang w:eastAsia="sv-SE"/>
        </w:rPr>
        <w:br/>
      </w:r>
      <w:r w:rsidRPr="000D73BC">
        <w:rPr>
          <w:b/>
          <w:bCs/>
          <w:sz w:val="22"/>
          <w:szCs w:val="22"/>
          <w:lang w:eastAsia="sv-SE"/>
        </w:rPr>
        <w:t>Departement/myndighet</w:t>
      </w:r>
      <w:r w:rsidRPr="000D73BC">
        <w:rPr>
          <w:sz w:val="22"/>
          <w:szCs w:val="22"/>
          <w:lang w:eastAsia="sv-SE"/>
        </w:rPr>
        <w:t>: Arbetsmarknadsdepartementet ARM</w:t>
      </w:r>
      <w:r w:rsidRPr="000D73BC">
        <w:rPr>
          <w:sz w:val="22"/>
          <w:szCs w:val="22"/>
          <w:lang w:eastAsia="sv-SE"/>
        </w:rPr>
        <w:br/>
      </w:r>
      <w:r w:rsidRPr="000D73BC">
        <w:rPr>
          <w:b/>
          <w:bCs/>
          <w:sz w:val="22"/>
          <w:szCs w:val="22"/>
          <w:lang w:eastAsia="sv-SE"/>
        </w:rPr>
        <w:t>Utfärdad</w:t>
      </w:r>
      <w:r w:rsidRPr="000D73BC">
        <w:rPr>
          <w:sz w:val="22"/>
          <w:szCs w:val="22"/>
          <w:lang w:eastAsia="sv-SE"/>
        </w:rPr>
        <w:t>: 2007-11-15</w:t>
      </w:r>
      <w:r w:rsidRPr="000D73BC">
        <w:rPr>
          <w:sz w:val="22"/>
          <w:szCs w:val="22"/>
          <w:lang w:eastAsia="sv-SE"/>
        </w:rPr>
        <w:br/>
      </w:r>
      <w:r w:rsidRPr="000D73BC">
        <w:rPr>
          <w:b/>
          <w:bCs/>
          <w:sz w:val="22"/>
          <w:szCs w:val="22"/>
          <w:lang w:eastAsia="sv-SE"/>
        </w:rPr>
        <w:t>Ändrad</w:t>
      </w:r>
      <w:r w:rsidRPr="000D73BC">
        <w:rPr>
          <w:sz w:val="22"/>
          <w:szCs w:val="22"/>
          <w:lang w:eastAsia="sv-SE"/>
        </w:rPr>
        <w:t>: t.o.m. SFS 2008:953</w:t>
      </w:r>
      <w:r w:rsidRPr="000D73BC">
        <w:rPr>
          <w:sz w:val="22"/>
          <w:szCs w:val="22"/>
          <w:lang w:eastAsia="sv-SE"/>
        </w:rPr>
        <w:br/>
      </w:r>
      <w:r w:rsidRPr="000D73BC">
        <w:rPr>
          <w:sz w:val="22"/>
          <w:szCs w:val="22"/>
          <w:lang w:eastAsia="sv-SE"/>
        </w:rPr>
        <w:br/>
      </w:r>
    </w:p>
    <w:p w:rsidR="00062AA9" w:rsidRPr="001E1365" w:rsidRDefault="00062AA9" w:rsidP="00062AA9">
      <w:pPr>
        <w:shd w:val="clear" w:color="auto" w:fill="FFFFFF"/>
        <w:spacing w:before="100" w:beforeAutospacing="1" w:after="48" w:line="240" w:lineRule="auto"/>
        <w:outlineLvl w:val="3"/>
        <w:rPr>
          <w:b/>
          <w:bCs/>
          <w:lang w:eastAsia="sv-SE"/>
        </w:rPr>
        <w:sectPr w:rsidR="00062AA9" w:rsidRPr="001E1365" w:rsidSect="0004241F">
          <w:type w:val="continuous"/>
          <w:pgSz w:w="11906" w:h="16838"/>
          <w:pgMar w:top="1134" w:right="1417" w:bottom="1417" w:left="1417" w:header="708" w:footer="708" w:gutter="0"/>
          <w:cols w:space="708"/>
          <w:docGrid w:linePitch="360"/>
        </w:sectPr>
      </w:pPr>
    </w:p>
    <w:p w:rsidR="00062AA9" w:rsidRPr="000D73BC" w:rsidRDefault="00062AA9" w:rsidP="00062AA9">
      <w:pPr>
        <w:shd w:val="clear" w:color="auto" w:fill="FFFFFF"/>
        <w:spacing w:after="48" w:line="240" w:lineRule="auto"/>
        <w:outlineLvl w:val="3"/>
        <w:rPr>
          <w:b/>
          <w:bCs/>
          <w:sz w:val="28"/>
          <w:szCs w:val="28"/>
          <w:lang w:eastAsia="sv-SE"/>
        </w:rPr>
      </w:pPr>
      <w:r w:rsidRPr="000D73BC">
        <w:rPr>
          <w:b/>
          <w:bCs/>
          <w:sz w:val="28"/>
          <w:szCs w:val="28"/>
          <w:lang w:eastAsia="sv-SE"/>
        </w:rPr>
        <w:lastRenderedPageBreak/>
        <w:t>Uppgifter</w:t>
      </w:r>
    </w:p>
    <w:p w:rsidR="00062AA9" w:rsidRPr="001E1365" w:rsidRDefault="00062AA9" w:rsidP="00062AA9">
      <w:pPr>
        <w:shd w:val="clear" w:color="auto" w:fill="FFFFFF"/>
        <w:spacing w:before="240" w:after="0" w:line="240" w:lineRule="auto"/>
        <w:rPr>
          <w:sz w:val="22"/>
          <w:szCs w:val="22"/>
          <w:lang w:eastAsia="sv-SE"/>
        </w:rPr>
      </w:pPr>
      <w:bookmarkStart w:id="1" w:name="P1"/>
      <w:r w:rsidRPr="000D73BC">
        <w:rPr>
          <w:b/>
          <w:bCs/>
          <w:sz w:val="22"/>
          <w:szCs w:val="22"/>
          <w:lang w:eastAsia="sv-SE"/>
        </w:rPr>
        <w:t>1 §</w:t>
      </w:r>
      <w:bookmarkEnd w:id="1"/>
      <w:r w:rsidRPr="000D73BC">
        <w:rPr>
          <w:b/>
          <w:sz w:val="22"/>
          <w:szCs w:val="22"/>
          <w:lang w:eastAsia="sv-SE"/>
        </w:rPr>
        <w:t xml:space="preserve"> </w:t>
      </w:r>
      <w:r w:rsidRPr="000D73BC">
        <w:rPr>
          <w:sz w:val="22"/>
          <w:szCs w:val="22"/>
          <w:lang w:eastAsia="sv-SE"/>
        </w:rPr>
        <w:t xml:space="preserve">Medlingsinstitutet ansvarar för den statliga medlingsverksamheten och har till uppgift att verka för </w:t>
      </w:r>
      <w:r w:rsidRPr="001E1365">
        <w:rPr>
          <w:sz w:val="22"/>
          <w:szCs w:val="22"/>
          <w:lang w:eastAsia="sv-SE"/>
        </w:rPr>
        <w:t>en väl fungerande lönebildning.</w:t>
      </w:r>
      <w:bookmarkStart w:id="2" w:name="P2"/>
    </w:p>
    <w:p w:rsidR="00062AA9" w:rsidRPr="000D73BC" w:rsidRDefault="00062AA9" w:rsidP="00062AA9">
      <w:pPr>
        <w:shd w:val="clear" w:color="auto" w:fill="FFFFFF"/>
        <w:spacing w:before="240" w:after="0" w:line="240" w:lineRule="auto"/>
        <w:rPr>
          <w:sz w:val="22"/>
          <w:szCs w:val="22"/>
          <w:lang w:eastAsia="sv-SE"/>
        </w:rPr>
      </w:pPr>
      <w:r w:rsidRPr="000D73BC">
        <w:rPr>
          <w:b/>
          <w:bCs/>
          <w:sz w:val="22"/>
          <w:szCs w:val="22"/>
          <w:lang w:eastAsia="sv-SE"/>
        </w:rPr>
        <w:t>2 §</w:t>
      </w:r>
      <w:bookmarkEnd w:id="2"/>
      <w:r w:rsidRPr="000D73BC">
        <w:rPr>
          <w:sz w:val="22"/>
          <w:szCs w:val="22"/>
          <w:lang w:eastAsia="sv-SE"/>
        </w:rPr>
        <w:t xml:space="preserve"> Utöver de uppgifter som följer av 46-49, 51-53 och 62 a §§ lagen (1976:580) om medbestämmande i arbetslivet ska Medlingsinstitutet</w:t>
      </w:r>
      <w:r w:rsidRPr="000D73BC">
        <w:rPr>
          <w:sz w:val="22"/>
          <w:szCs w:val="22"/>
          <w:lang w:eastAsia="sv-SE"/>
        </w:rPr>
        <w:br/>
        <w:t>1. verka för att det för kollektivavtals</w:t>
      </w:r>
      <w:r w:rsidRPr="001E1365">
        <w:rPr>
          <w:lang w:eastAsia="sv-SE"/>
        </w:rPr>
        <w:softHyphen/>
      </w:r>
      <w:r w:rsidRPr="000D73BC">
        <w:rPr>
          <w:sz w:val="22"/>
          <w:szCs w:val="22"/>
          <w:lang w:eastAsia="sv-SE"/>
        </w:rPr>
        <w:t>förhandlingar upprättas tidsplaner som syftar till att nya avtal sluts innan föregående avtalsperiod löper ut,</w:t>
      </w:r>
      <w:r w:rsidRPr="000D73BC">
        <w:rPr>
          <w:sz w:val="22"/>
          <w:szCs w:val="22"/>
          <w:lang w:eastAsia="sv-SE"/>
        </w:rPr>
        <w:br/>
        <w:t>2. samråda med parterna om de samhällsekonomiska förutsättningarna för förhandlingarna samt utifrån de rapporter om samhällsekonomin som Konjunkturinstitutet upprättar uppmärksamma lönebildningsproblem,</w:t>
      </w:r>
      <w:r w:rsidRPr="000D73BC">
        <w:rPr>
          <w:sz w:val="22"/>
          <w:szCs w:val="22"/>
          <w:lang w:eastAsia="sv-SE"/>
        </w:rPr>
        <w:br/>
        <w:t>3. tillvarata och upprätthålla den samsyn som finns på arbetsmarknaden om den konkurrensutsatta sektorns lönenormerande roll,</w:t>
      </w:r>
      <w:r w:rsidRPr="000D73BC">
        <w:rPr>
          <w:sz w:val="22"/>
          <w:szCs w:val="22"/>
          <w:lang w:eastAsia="sv-SE"/>
        </w:rPr>
        <w:br/>
        <w:t>4. inhämta, sammanställa och tolka statistik som är av betydelse för lönebildningen,</w:t>
      </w:r>
      <w:r w:rsidRPr="000D73BC">
        <w:rPr>
          <w:sz w:val="22"/>
          <w:szCs w:val="22"/>
          <w:lang w:eastAsia="sv-SE"/>
        </w:rPr>
        <w:br/>
        <w:t>5. inhämta, sammanställa och analysera sådana träffade kollektivavtal som är av intresse för verksamheten samt utvärdera avtalsförhandlingarna mellan parterna,</w:t>
      </w:r>
      <w:r w:rsidRPr="000D73BC">
        <w:rPr>
          <w:sz w:val="22"/>
          <w:szCs w:val="22"/>
          <w:lang w:eastAsia="sv-SE"/>
        </w:rPr>
        <w:br/>
        <w:t>6. registrera sådana avtal om förhandlingsordning som avses i 47 b § lagen (1976:580) om medbestämmande i arbetslivet, efter ansökan av kollektivavtalsparterna,</w:t>
      </w:r>
      <w:r w:rsidRPr="000D73BC">
        <w:rPr>
          <w:sz w:val="22"/>
          <w:szCs w:val="22"/>
          <w:lang w:eastAsia="sv-SE"/>
        </w:rPr>
        <w:br/>
        <w:t>7. ha tillsyn över de medlare som förordnats enligt förordningen (1976:826) om medling i arbetstvister, och</w:t>
      </w:r>
      <w:r w:rsidRPr="000D73BC">
        <w:rPr>
          <w:sz w:val="22"/>
          <w:szCs w:val="22"/>
          <w:lang w:eastAsia="sv-SE"/>
        </w:rPr>
        <w:br/>
        <w:t xml:space="preserve">8. ansvara för officiell statistik enligt förordningen (2001:100) om den officiella statistiken samt se till att statistikens innehåll och omfattning anpassas efter användarnas behov. </w:t>
      </w:r>
    </w:p>
    <w:p w:rsidR="00062AA9" w:rsidRPr="000D73BC" w:rsidRDefault="00062AA9" w:rsidP="00062AA9">
      <w:pPr>
        <w:shd w:val="clear" w:color="auto" w:fill="FFFFFF"/>
        <w:spacing w:before="240" w:after="0" w:line="240" w:lineRule="auto"/>
        <w:rPr>
          <w:sz w:val="22"/>
          <w:szCs w:val="22"/>
          <w:lang w:eastAsia="sv-SE"/>
        </w:rPr>
      </w:pPr>
      <w:bookmarkStart w:id="3" w:name="P3"/>
      <w:r w:rsidRPr="000D73BC">
        <w:rPr>
          <w:b/>
          <w:bCs/>
          <w:sz w:val="22"/>
          <w:szCs w:val="22"/>
          <w:lang w:eastAsia="sv-SE"/>
        </w:rPr>
        <w:t>3 §</w:t>
      </w:r>
      <w:bookmarkEnd w:id="3"/>
      <w:r w:rsidRPr="000D73BC">
        <w:rPr>
          <w:sz w:val="22"/>
          <w:szCs w:val="22"/>
          <w:lang w:eastAsia="sv-SE"/>
        </w:rPr>
        <w:t xml:space="preserve"> Medlingsinstitutet ska ha god överblick över förhållandena på arbetsmarknaden samt följa utvecklingen i Sverige och i omvärlden, särskilt i Europa, när det gäller löner, </w:t>
      </w:r>
      <w:r w:rsidRPr="000D73BC">
        <w:rPr>
          <w:sz w:val="22"/>
          <w:szCs w:val="22"/>
          <w:lang w:eastAsia="sv-SE"/>
        </w:rPr>
        <w:lastRenderedPageBreak/>
        <w:t>avtalsförhandlingar och arbetsmarknads</w:t>
      </w:r>
      <w:r w:rsidR="00A6594D">
        <w:rPr>
          <w:sz w:val="22"/>
          <w:szCs w:val="22"/>
          <w:lang w:eastAsia="sv-SE"/>
        </w:rPr>
        <w:softHyphen/>
      </w:r>
      <w:r w:rsidRPr="000D73BC">
        <w:rPr>
          <w:sz w:val="22"/>
          <w:szCs w:val="22"/>
          <w:lang w:eastAsia="sv-SE"/>
        </w:rPr>
        <w:t xml:space="preserve">lagstiftning. </w:t>
      </w:r>
    </w:p>
    <w:p w:rsidR="00062AA9" w:rsidRPr="000D73BC" w:rsidRDefault="00062AA9" w:rsidP="00062AA9">
      <w:pPr>
        <w:shd w:val="clear" w:color="auto" w:fill="FFFFFF"/>
        <w:spacing w:before="240" w:after="0" w:line="240" w:lineRule="auto"/>
        <w:rPr>
          <w:sz w:val="22"/>
          <w:szCs w:val="22"/>
          <w:lang w:eastAsia="sv-SE"/>
        </w:rPr>
      </w:pPr>
      <w:bookmarkStart w:id="4" w:name="P4"/>
      <w:r w:rsidRPr="000D73BC">
        <w:rPr>
          <w:b/>
          <w:bCs/>
          <w:sz w:val="22"/>
          <w:szCs w:val="22"/>
          <w:lang w:eastAsia="sv-SE"/>
        </w:rPr>
        <w:t>4 §</w:t>
      </w:r>
      <w:bookmarkEnd w:id="4"/>
      <w:r w:rsidRPr="000D73BC">
        <w:rPr>
          <w:sz w:val="22"/>
          <w:szCs w:val="22"/>
          <w:lang w:eastAsia="sv-SE"/>
        </w:rPr>
        <w:t xml:space="preserve"> Medlingsinstitutet ska analysera löneutvecklingen från ett jämställdhetsperspektiv och följa frågan om diskriminering i lönesättningen på andra grunder än kön. </w:t>
      </w:r>
    </w:p>
    <w:p w:rsidR="00062AA9" w:rsidRPr="000D73BC" w:rsidRDefault="00062AA9" w:rsidP="00062AA9">
      <w:pPr>
        <w:shd w:val="clear" w:color="auto" w:fill="FFFFFF"/>
        <w:spacing w:before="240" w:after="192" w:line="240" w:lineRule="auto"/>
        <w:rPr>
          <w:sz w:val="22"/>
          <w:szCs w:val="22"/>
          <w:lang w:eastAsia="sv-SE"/>
        </w:rPr>
      </w:pPr>
      <w:r w:rsidRPr="000D73BC">
        <w:rPr>
          <w:sz w:val="22"/>
          <w:szCs w:val="22"/>
          <w:lang w:eastAsia="sv-SE"/>
        </w:rPr>
        <w:t>Medlingsinstitutet ska vidare vid sina överläggningar med arbetsmarknadens parter om kommande och pågående avtalsförhandlingar fästa uppmärksamheten på vikten av att de centrala kollektivavtalen konstrueras så att de främjar de lokala parternas arbete med lönefrågor ur ett jämställdhetsperspektiv. Institutet ska i detta arbete samråda med Diskrimineringsombudsmannen. Föro</w:t>
      </w:r>
      <w:r w:rsidR="00A6594D">
        <w:rPr>
          <w:sz w:val="22"/>
          <w:szCs w:val="22"/>
          <w:lang w:eastAsia="sv-SE"/>
        </w:rPr>
        <w:t>rd</w:t>
      </w:r>
      <w:r w:rsidRPr="000D73BC">
        <w:rPr>
          <w:sz w:val="22"/>
          <w:szCs w:val="22"/>
          <w:lang w:eastAsia="sv-SE"/>
        </w:rPr>
        <w:t xml:space="preserve">ning (2008:953). </w:t>
      </w:r>
    </w:p>
    <w:p w:rsidR="00062AA9" w:rsidRPr="000D73BC" w:rsidRDefault="00062AA9" w:rsidP="00062AA9">
      <w:pPr>
        <w:shd w:val="clear" w:color="auto" w:fill="FFFFFF"/>
        <w:spacing w:before="240" w:after="0" w:line="240" w:lineRule="auto"/>
        <w:rPr>
          <w:sz w:val="22"/>
          <w:szCs w:val="22"/>
          <w:lang w:eastAsia="sv-SE"/>
        </w:rPr>
      </w:pPr>
      <w:bookmarkStart w:id="5" w:name="P5"/>
      <w:r w:rsidRPr="000D73BC">
        <w:rPr>
          <w:b/>
          <w:bCs/>
          <w:sz w:val="22"/>
          <w:szCs w:val="22"/>
          <w:lang w:eastAsia="sv-SE"/>
        </w:rPr>
        <w:t>5 §</w:t>
      </w:r>
      <w:bookmarkEnd w:id="5"/>
      <w:r w:rsidRPr="000D73BC">
        <w:rPr>
          <w:sz w:val="22"/>
          <w:szCs w:val="22"/>
          <w:lang w:eastAsia="sv-SE"/>
        </w:rPr>
        <w:t xml:space="preserve"> Medlingsinstitutet ska upprätta</w:t>
      </w:r>
      <w:r w:rsidRPr="000D73BC">
        <w:rPr>
          <w:sz w:val="22"/>
          <w:szCs w:val="22"/>
          <w:lang w:eastAsia="sv-SE"/>
        </w:rPr>
        <w:br/>
        <w:t>1. en månatlig rapport om den månadsvisa lönestatistiken,</w:t>
      </w:r>
      <w:r w:rsidRPr="000D73BC">
        <w:rPr>
          <w:sz w:val="22"/>
          <w:szCs w:val="22"/>
          <w:lang w:eastAsia="sv-SE"/>
        </w:rPr>
        <w:br/>
        <w:t>2. en årlig rapport om den årsvisa lönestatistiken, och</w:t>
      </w:r>
      <w:r w:rsidRPr="000D73BC">
        <w:rPr>
          <w:sz w:val="22"/>
          <w:szCs w:val="22"/>
          <w:lang w:eastAsia="sv-SE"/>
        </w:rPr>
        <w:br/>
        <w:t xml:space="preserve">3. en årlig rapport om löneutveckling, avtalsförhandlingar och arbetsmarknadslagstiftning i Sverige och i omvärlden. </w:t>
      </w:r>
    </w:p>
    <w:p w:rsidR="00062AA9" w:rsidRPr="000D73BC" w:rsidRDefault="00062AA9" w:rsidP="00062AA9">
      <w:pPr>
        <w:shd w:val="clear" w:color="auto" w:fill="FFFFFF"/>
        <w:spacing w:before="240" w:after="0" w:line="240" w:lineRule="auto"/>
        <w:rPr>
          <w:sz w:val="22"/>
          <w:szCs w:val="22"/>
          <w:lang w:eastAsia="sv-SE"/>
        </w:rPr>
      </w:pPr>
      <w:bookmarkStart w:id="6" w:name="P6"/>
      <w:r w:rsidRPr="000D73BC">
        <w:rPr>
          <w:b/>
          <w:bCs/>
          <w:sz w:val="22"/>
          <w:szCs w:val="22"/>
          <w:lang w:eastAsia="sv-SE"/>
        </w:rPr>
        <w:t>6 §</w:t>
      </w:r>
      <w:bookmarkEnd w:id="6"/>
      <w:r w:rsidRPr="000D73BC">
        <w:rPr>
          <w:sz w:val="22"/>
          <w:szCs w:val="22"/>
          <w:lang w:eastAsia="sv-SE"/>
        </w:rPr>
        <w:t xml:space="preserve"> Myndighetschefen ska på riksdagens begäran redogöra för utvecklingen inom lönebildningen, hur institutet skött sin uppgift att verka för en väl fungerande lönebildning samt vilka konflikter som förekommit på arbetsmarknaden och vilka konsekvenser dessa har fått. </w:t>
      </w:r>
    </w:p>
    <w:p w:rsidR="00062AA9" w:rsidRPr="000D73BC" w:rsidRDefault="00062AA9" w:rsidP="00062AA9">
      <w:pPr>
        <w:shd w:val="clear" w:color="auto" w:fill="FFFFFF"/>
        <w:spacing w:after="48" w:line="240" w:lineRule="auto"/>
        <w:outlineLvl w:val="3"/>
        <w:rPr>
          <w:b/>
          <w:bCs/>
          <w:sz w:val="28"/>
          <w:szCs w:val="28"/>
          <w:lang w:eastAsia="sv-SE"/>
        </w:rPr>
      </w:pPr>
      <w:r w:rsidRPr="000D73BC">
        <w:rPr>
          <w:b/>
          <w:bCs/>
          <w:sz w:val="28"/>
          <w:szCs w:val="28"/>
          <w:lang w:eastAsia="sv-SE"/>
        </w:rPr>
        <w:t>Ledning</w:t>
      </w:r>
    </w:p>
    <w:p w:rsidR="00062AA9" w:rsidRPr="000D73BC" w:rsidRDefault="00062AA9" w:rsidP="00062AA9">
      <w:pPr>
        <w:shd w:val="clear" w:color="auto" w:fill="FFFFFF"/>
        <w:spacing w:before="240" w:after="0" w:line="240" w:lineRule="auto"/>
        <w:rPr>
          <w:sz w:val="22"/>
          <w:szCs w:val="22"/>
          <w:lang w:eastAsia="sv-SE"/>
        </w:rPr>
      </w:pPr>
      <w:bookmarkStart w:id="7" w:name="P7"/>
      <w:r w:rsidRPr="000D73BC">
        <w:rPr>
          <w:b/>
          <w:bCs/>
          <w:sz w:val="22"/>
          <w:szCs w:val="22"/>
          <w:lang w:eastAsia="sv-SE"/>
        </w:rPr>
        <w:t>7 §</w:t>
      </w:r>
      <w:bookmarkEnd w:id="7"/>
      <w:r w:rsidRPr="000D73BC">
        <w:rPr>
          <w:b/>
          <w:bCs/>
          <w:sz w:val="22"/>
          <w:szCs w:val="22"/>
          <w:lang w:eastAsia="sv-SE"/>
        </w:rPr>
        <w:t xml:space="preserve"> </w:t>
      </w:r>
      <w:r w:rsidRPr="000D73BC">
        <w:rPr>
          <w:sz w:val="22"/>
          <w:szCs w:val="22"/>
          <w:lang w:eastAsia="sv-SE"/>
        </w:rPr>
        <w:t xml:space="preserve">Myndigheten leds av en myndighetschef. </w:t>
      </w:r>
    </w:p>
    <w:p w:rsidR="00062AA9" w:rsidRPr="000D73BC" w:rsidRDefault="00062AA9" w:rsidP="00062AA9">
      <w:pPr>
        <w:shd w:val="clear" w:color="auto" w:fill="FFFFFF"/>
        <w:spacing w:before="240" w:after="0" w:line="240" w:lineRule="auto"/>
        <w:rPr>
          <w:sz w:val="22"/>
          <w:szCs w:val="22"/>
          <w:lang w:eastAsia="sv-SE"/>
        </w:rPr>
      </w:pPr>
      <w:bookmarkStart w:id="8" w:name="P8"/>
      <w:r w:rsidRPr="000D73BC">
        <w:rPr>
          <w:b/>
          <w:sz w:val="22"/>
          <w:szCs w:val="22"/>
          <w:lang w:eastAsia="sv-SE"/>
        </w:rPr>
        <w:t>8 §</w:t>
      </w:r>
      <w:bookmarkEnd w:id="8"/>
      <w:r w:rsidRPr="000D73BC">
        <w:rPr>
          <w:sz w:val="22"/>
          <w:szCs w:val="22"/>
          <w:lang w:eastAsia="sv-SE"/>
        </w:rPr>
        <w:t xml:space="preserve"> Vid myndigheten ska det finnas ett insynsråd som består av högst sex ledamöter. </w:t>
      </w:r>
    </w:p>
    <w:p w:rsidR="00062AA9" w:rsidRPr="000D73BC" w:rsidRDefault="00062AA9" w:rsidP="00062AA9">
      <w:pPr>
        <w:shd w:val="clear" w:color="auto" w:fill="FFFFFF"/>
        <w:spacing w:after="48" w:line="240" w:lineRule="auto"/>
        <w:outlineLvl w:val="3"/>
        <w:rPr>
          <w:b/>
          <w:bCs/>
          <w:sz w:val="28"/>
          <w:szCs w:val="28"/>
          <w:lang w:eastAsia="sv-SE"/>
        </w:rPr>
      </w:pPr>
      <w:r w:rsidRPr="000D73BC">
        <w:rPr>
          <w:b/>
          <w:bCs/>
          <w:sz w:val="28"/>
          <w:szCs w:val="28"/>
          <w:lang w:eastAsia="sv-SE"/>
        </w:rPr>
        <w:t>Anställningar och uppdrag</w:t>
      </w:r>
    </w:p>
    <w:p w:rsidR="00062AA9" w:rsidRPr="001E1365" w:rsidRDefault="00062AA9" w:rsidP="00062AA9">
      <w:pPr>
        <w:shd w:val="clear" w:color="auto" w:fill="FFFFFF"/>
        <w:spacing w:after="0" w:line="240" w:lineRule="auto"/>
        <w:rPr>
          <w:lang w:eastAsia="sv-SE"/>
        </w:rPr>
      </w:pPr>
      <w:bookmarkStart w:id="9" w:name="P9"/>
      <w:r w:rsidRPr="000D73BC">
        <w:rPr>
          <w:b/>
          <w:sz w:val="22"/>
          <w:szCs w:val="22"/>
          <w:lang w:eastAsia="sv-SE"/>
        </w:rPr>
        <w:t>9 §</w:t>
      </w:r>
      <w:bookmarkEnd w:id="9"/>
      <w:r w:rsidRPr="000D73BC">
        <w:rPr>
          <w:sz w:val="22"/>
          <w:szCs w:val="22"/>
          <w:lang w:eastAsia="sv-SE"/>
        </w:rPr>
        <w:t xml:space="preserve"> Generaldirektören är myndighetschef.</w:t>
      </w:r>
      <w:r w:rsidRPr="001E1365">
        <w:rPr>
          <w:lang w:eastAsia="sv-SE"/>
        </w:rPr>
        <w:br w:type="page"/>
      </w:r>
    </w:p>
    <w:p w:rsidR="00062AA9" w:rsidRPr="001E1365" w:rsidRDefault="00062AA9" w:rsidP="00062AA9">
      <w:pPr>
        <w:shd w:val="clear" w:color="auto" w:fill="FFFFFF"/>
        <w:spacing w:before="100" w:beforeAutospacing="1" w:after="48" w:line="264" w:lineRule="atLeast"/>
        <w:outlineLvl w:val="1"/>
        <w:rPr>
          <w:rFonts w:ascii="Verdana" w:hAnsi="Verdana"/>
          <w:b/>
          <w:bCs/>
          <w:sz w:val="27"/>
          <w:szCs w:val="27"/>
          <w:lang w:eastAsia="sv-SE"/>
        </w:rPr>
        <w:sectPr w:rsidR="00062AA9" w:rsidRPr="001E1365" w:rsidSect="00062AA9">
          <w:type w:val="continuous"/>
          <w:pgSz w:w="11906" w:h="16838"/>
          <w:pgMar w:top="1417" w:right="1417" w:bottom="1417" w:left="1417" w:header="708" w:footer="708" w:gutter="0"/>
          <w:cols w:num="2" w:space="708"/>
          <w:docGrid w:linePitch="360"/>
        </w:sectPr>
      </w:pPr>
    </w:p>
    <w:p w:rsidR="00FF7514" w:rsidRDefault="00062AA9" w:rsidP="00062AA9">
      <w:pPr>
        <w:shd w:val="clear" w:color="auto" w:fill="FFFFFF"/>
        <w:spacing w:before="100" w:beforeAutospacing="1" w:after="48" w:line="264" w:lineRule="atLeast"/>
        <w:outlineLvl w:val="1"/>
        <w:rPr>
          <w:rFonts w:ascii="Verdana" w:hAnsi="Verdana"/>
          <w:b/>
          <w:bCs/>
          <w:sz w:val="27"/>
          <w:szCs w:val="27"/>
          <w:lang w:eastAsia="sv-SE"/>
        </w:rPr>
      </w:pPr>
      <w:r w:rsidRPr="001E1365">
        <w:rPr>
          <w:rFonts w:ascii="Verdana" w:hAnsi="Verdana"/>
          <w:b/>
          <w:bCs/>
          <w:sz w:val="27"/>
          <w:szCs w:val="27"/>
          <w:lang w:eastAsia="sv-SE"/>
        </w:rPr>
        <w:lastRenderedPageBreak/>
        <w:t>Ur l</w:t>
      </w:r>
      <w:r w:rsidRPr="004F3EE7">
        <w:rPr>
          <w:rFonts w:ascii="Verdana" w:hAnsi="Verdana"/>
          <w:b/>
          <w:bCs/>
          <w:sz w:val="27"/>
          <w:szCs w:val="27"/>
          <w:lang w:eastAsia="sv-SE"/>
        </w:rPr>
        <w:t>ag (1976:580) om medbestämmande i arbetslivet</w:t>
      </w:r>
    </w:p>
    <w:p w:rsidR="00FF7514" w:rsidRDefault="00FF7514" w:rsidP="00FF7514">
      <w:pPr>
        <w:shd w:val="clear" w:color="auto" w:fill="FFFFFF"/>
        <w:spacing w:before="100" w:beforeAutospacing="1" w:after="48" w:line="264" w:lineRule="atLeast"/>
        <w:outlineLvl w:val="1"/>
        <w:rPr>
          <w:rFonts w:ascii="Verdana" w:hAnsi="Verdana"/>
          <w:b/>
          <w:bCs/>
          <w:sz w:val="18"/>
          <w:szCs w:val="18"/>
          <w:lang w:eastAsia="sv-SE"/>
        </w:rPr>
        <w:sectPr w:rsidR="00FF7514" w:rsidSect="005B3315">
          <w:footerReference w:type="default" r:id="rId22"/>
          <w:headerReference w:type="first" r:id="rId23"/>
          <w:footerReference w:type="first" r:id="rId24"/>
          <w:type w:val="continuous"/>
          <w:pgSz w:w="11880" w:h="16800" w:code="9"/>
          <w:pgMar w:top="709" w:right="1815" w:bottom="851" w:left="1701" w:header="851" w:footer="414" w:gutter="0"/>
          <w:cols w:space="707"/>
          <w:formProt w:val="0"/>
          <w:titlePg/>
          <w:docGrid w:linePitch="313"/>
        </w:sectPr>
      </w:pPr>
    </w:p>
    <w:p w:rsidR="00062AA9" w:rsidRDefault="00062AA9" w:rsidP="00062AA9">
      <w:pPr>
        <w:shd w:val="clear" w:color="auto" w:fill="FFFFFF"/>
        <w:spacing w:before="100" w:beforeAutospacing="1" w:after="48" w:line="264" w:lineRule="atLeast"/>
        <w:outlineLvl w:val="1"/>
        <w:rPr>
          <w:rFonts w:ascii="Arial" w:hAnsi="Arial" w:cs="Arial"/>
          <w:sz w:val="32"/>
          <w:szCs w:val="32"/>
        </w:rPr>
      </w:pPr>
      <w:r w:rsidRPr="004F3EE7">
        <w:rPr>
          <w:rFonts w:ascii="Verdana" w:hAnsi="Verdana"/>
          <w:b/>
          <w:bCs/>
          <w:sz w:val="18"/>
          <w:szCs w:val="18"/>
          <w:lang w:eastAsia="sv-SE"/>
        </w:rPr>
        <w:lastRenderedPageBreak/>
        <w:t>SFS nr</w:t>
      </w:r>
      <w:r w:rsidRPr="004F3EE7">
        <w:rPr>
          <w:rFonts w:ascii="Verdana" w:hAnsi="Verdana"/>
          <w:sz w:val="18"/>
          <w:szCs w:val="18"/>
          <w:lang w:eastAsia="sv-SE"/>
        </w:rPr>
        <w:t>: 1976:580</w:t>
      </w:r>
      <w:r w:rsidRPr="004F3EE7">
        <w:rPr>
          <w:rFonts w:ascii="Verdana" w:hAnsi="Verdana"/>
          <w:sz w:val="18"/>
          <w:szCs w:val="18"/>
          <w:lang w:eastAsia="sv-SE"/>
        </w:rPr>
        <w:br/>
      </w:r>
      <w:r w:rsidRPr="004F3EE7">
        <w:rPr>
          <w:rFonts w:ascii="Verdana" w:hAnsi="Verdana"/>
          <w:b/>
          <w:bCs/>
          <w:sz w:val="18"/>
          <w:szCs w:val="18"/>
          <w:lang w:eastAsia="sv-SE"/>
        </w:rPr>
        <w:t>Departement/myndighet</w:t>
      </w:r>
      <w:r w:rsidRPr="004F3EE7">
        <w:rPr>
          <w:rFonts w:ascii="Verdana" w:hAnsi="Verdana"/>
          <w:sz w:val="18"/>
          <w:szCs w:val="18"/>
          <w:lang w:eastAsia="sv-SE"/>
        </w:rPr>
        <w:t>: Arbetsmarknadsdepartementet ARM</w:t>
      </w:r>
      <w:r w:rsidRPr="004F3EE7">
        <w:rPr>
          <w:rFonts w:ascii="Verdana" w:hAnsi="Verdana"/>
          <w:sz w:val="18"/>
          <w:szCs w:val="18"/>
          <w:lang w:eastAsia="sv-SE"/>
        </w:rPr>
        <w:br/>
      </w:r>
      <w:r w:rsidRPr="004F3EE7">
        <w:rPr>
          <w:rFonts w:ascii="Verdana" w:hAnsi="Verdana"/>
          <w:b/>
          <w:bCs/>
          <w:sz w:val="18"/>
          <w:szCs w:val="18"/>
          <w:lang w:eastAsia="sv-SE"/>
        </w:rPr>
        <w:t>Utfärdad</w:t>
      </w:r>
      <w:r w:rsidRPr="004F3EE7">
        <w:rPr>
          <w:rFonts w:ascii="Verdana" w:hAnsi="Verdana"/>
          <w:sz w:val="18"/>
          <w:szCs w:val="18"/>
          <w:lang w:eastAsia="sv-SE"/>
        </w:rPr>
        <w:t>: 1976-06-10</w:t>
      </w:r>
      <w:r w:rsidRPr="004F3EE7">
        <w:rPr>
          <w:rFonts w:ascii="Verdana" w:hAnsi="Verdana"/>
          <w:sz w:val="18"/>
          <w:szCs w:val="18"/>
          <w:lang w:eastAsia="sv-SE"/>
        </w:rPr>
        <w:br/>
      </w:r>
      <w:r w:rsidRPr="004F3EE7">
        <w:rPr>
          <w:rFonts w:ascii="Verdana" w:hAnsi="Verdana"/>
          <w:b/>
          <w:bCs/>
          <w:sz w:val="18"/>
          <w:szCs w:val="18"/>
          <w:lang w:eastAsia="sv-SE"/>
        </w:rPr>
        <w:t>Ändrad</w:t>
      </w:r>
      <w:r w:rsidRPr="004F3EE7">
        <w:rPr>
          <w:rFonts w:ascii="Verdana" w:hAnsi="Verdana"/>
          <w:sz w:val="18"/>
          <w:szCs w:val="18"/>
          <w:lang w:eastAsia="sv-SE"/>
        </w:rPr>
        <w:t>: t.o.m. SFS 2011:1033</w:t>
      </w:r>
      <w:r w:rsidRPr="004F3EE7">
        <w:rPr>
          <w:rFonts w:ascii="Verdana" w:hAnsi="Verdana"/>
          <w:sz w:val="18"/>
          <w:szCs w:val="18"/>
          <w:lang w:eastAsia="sv-SE"/>
        </w:rPr>
        <w:br/>
      </w:r>
    </w:p>
    <w:p w:rsidR="00062AA9" w:rsidRPr="001E1365" w:rsidRDefault="00062AA9" w:rsidP="00062AA9">
      <w:pPr>
        <w:shd w:val="clear" w:color="auto" w:fill="FFFFFF"/>
        <w:spacing w:after="48" w:line="240" w:lineRule="auto"/>
        <w:outlineLvl w:val="3"/>
        <w:rPr>
          <w:b/>
          <w:bCs/>
          <w:sz w:val="28"/>
          <w:szCs w:val="28"/>
          <w:lang w:eastAsia="sv-SE"/>
        </w:rPr>
      </w:pPr>
      <w:r w:rsidRPr="001E1365">
        <w:rPr>
          <w:b/>
          <w:bCs/>
          <w:sz w:val="28"/>
          <w:szCs w:val="28"/>
          <w:lang w:eastAsia="sv-SE"/>
        </w:rPr>
        <w:t>Medling</w:t>
      </w:r>
    </w:p>
    <w:p w:rsidR="00062AA9" w:rsidRPr="001E1365" w:rsidRDefault="00062AA9" w:rsidP="00062AA9">
      <w:pPr>
        <w:pStyle w:val="Normalwebb"/>
        <w:shd w:val="clear" w:color="auto" w:fill="FFFFFF"/>
        <w:rPr>
          <w:sz w:val="22"/>
          <w:szCs w:val="22"/>
        </w:rPr>
      </w:pPr>
      <w:bookmarkStart w:id="10" w:name="P46"/>
      <w:r w:rsidRPr="001E1365">
        <w:rPr>
          <w:b/>
          <w:bCs/>
          <w:sz w:val="22"/>
          <w:szCs w:val="22"/>
        </w:rPr>
        <w:t>46 §</w:t>
      </w:r>
      <w:bookmarkEnd w:id="10"/>
      <w:r w:rsidRPr="001E1365">
        <w:rPr>
          <w:sz w:val="22"/>
          <w:szCs w:val="22"/>
        </w:rPr>
        <w:t xml:space="preserve"> För medling i arbetstvister mellan å ena sidan arbetsgivare eller arbetsgivarorganisation och å andra sidan arbetstagare eller arbetstagarorganisation finns Medlingsinstitutet. Institutet skall verka för en väl fungerande lönebildning. </w:t>
      </w:r>
      <w:r w:rsidRPr="001E1365">
        <w:rPr>
          <w:i/>
          <w:iCs/>
          <w:sz w:val="22"/>
          <w:szCs w:val="22"/>
        </w:rPr>
        <w:t>Lag (2000:163)</w:t>
      </w:r>
      <w:r w:rsidRPr="001E1365">
        <w:rPr>
          <w:sz w:val="22"/>
          <w:szCs w:val="22"/>
        </w:rPr>
        <w:t xml:space="preserve">. </w:t>
      </w:r>
    </w:p>
    <w:p w:rsidR="00062AA9" w:rsidRPr="001E1365" w:rsidRDefault="00062AA9" w:rsidP="00062AA9">
      <w:pPr>
        <w:pStyle w:val="Normalwebb"/>
        <w:shd w:val="clear" w:color="auto" w:fill="FFFFFF"/>
        <w:rPr>
          <w:sz w:val="22"/>
          <w:szCs w:val="22"/>
        </w:rPr>
      </w:pPr>
      <w:bookmarkStart w:id="11" w:name="P47"/>
      <w:r w:rsidRPr="001E1365">
        <w:rPr>
          <w:b/>
          <w:bCs/>
          <w:sz w:val="22"/>
          <w:szCs w:val="22"/>
        </w:rPr>
        <w:t>47 §</w:t>
      </w:r>
      <w:bookmarkEnd w:id="11"/>
      <w:r w:rsidRPr="001E1365">
        <w:rPr>
          <w:sz w:val="22"/>
          <w:szCs w:val="22"/>
        </w:rPr>
        <w:t xml:space="preserve"> Medlingsinstitutet skall genom överläggningar med parter eller på annat sätt informera sig om kommande eller pågående avtalsförhandlingar. </w:t>
      </w:r>
    </w:p>
    <w:p w:rsidR="00062AA9" w:rsidRPr="001E1365" w:rsidRDefault="00062AA9" w:rsidP="00062AA9">
      <w:pPr>
        <w:pStyle w:val="Normalwebb"/>
        <w:shd w:val="clear" w:color="auto" w:fill="FFFFFF"/>
        <w:rPr>
          <w:sz w:val="22"/>
          <w:szCs w:val="22"/>
        </w:rPr>
      </w:pPr>
      <w:r w:rsidRPr="001E1365">
        <w:rPr>
          <w:sz w:val="22"/>
          <w:szCs w:val="22"/>
        </w:rPr>
        <w:t xml:space="preserve">Institutet skall också ge råd och upplysningar till parterna på arbetsmarknaden om förhandlingar och kollektivavtal. </w:t>
      </w:r>
    </w:p>
    <w:p w:rsidR="00062AA9" w:rsidRPr="001E1365" w:rsidRDefault="00062AA9" w:rsidP="00062AA9">
      <w:pPr>
        <w:pStyle w:val="Normalwebb"/>
        <w:shd w:val="clear" w:color="auto" w:fill="FFFFFF"/>
        <w:rPr>
          <w:sz w:val="22"/>
          <w:szCs w:val="22"/>
        </w:rPr>
      </w:pPr>
      <w:r w:rsidRPr="001E1365">
        <w:rPr>
          <w:sz w:val="22"/>
          <w:szCs w:val="22"/>
        </w:rPr>
        <w:t xml:space="preserve">En part som träffat kollektivavtal om löner och allmänna anställningsvillkor skall på begäran ge in en kopia av avtalet till Medlingsinstitutet. </w:t>
      </w:r>
      <w:r w:rsidRPr="001E1365">
        <w:rPr>
          <w:i/>
          <w:iCs/>
          <w:sz w:val="22"/>
          <w:szCs w:val="22"/>
        </w:rPr>
        <w:t>Lag (2000:163)</w:t>
      </w:r>
      <w:r w:rsidRPr="001E1365">
        <w:rPr>
          <w:sz w:val="22"/>
          <w:szCs w:val="22"/>
        </w:rPr>
        <w:t xml:space="preserve">. </w:t>
      </w:r>
    </w:p>
    <w:p w:rsidR="00062AA9" w:rsidRPr="001E1365" w:rsidRDefault="00062AA9" w:rsidP="00062AA9">
      <w:pPr>
        <w:pStyle w:val="Normalwebb"/>
        <w:shd w:val="clear" w:color="auto" w:fill="FFFFFF"/>
        <w:rPr>
          <w:sz w:val="22"/>
          <w:szCs w:val="22"/>
        </w:rPr>
      </w:pPr>
      <w:bookmarkStart w:id="12" w:name="P47a"/>
      <w:r w:rsidRPr="001E1365">
        <w:rPr>
          <w:b/>
          <w:bCs/>
          <w:sz w:val="22"/>
          <w:szCs w:val="22"/>
        </w:rPr>
        <w:t>47 a §</w:t>
      </w:r>
      <w:bookmarkEnd w:id="12"/>
      <w:r w:rsidRPr="001E1365">
        <w:rPr>
          <w:sz w:val="22"/>
          <w:szCs w:val="22"/>
        </w:rPr>
        <w:t xml:space="preserve"> Efter samtycke från parter som förhandlar om kollektivavtal kan Medlingsinstitutet utse en eller flera förhandlingsledare eller medlare. </w:t>
      </w:r>
      <w:r w:rsidRPr="001E1365">
        <w:rPr>
          <w:i/>
          <w:iCs/>
          <w:sz w:val="22"/>
          <w:szCs w:val="22"/>
        </w:rPr>
        <w:t>Lag (2000:163)</w:t>
      </w:r>
      <w:r w:rsidRPr="001E1365">
        <w:rPr>
          <w:sz w:val="22"/>
          <w:szCs w:val="22"/>
        </w:rPr>
        <w:t xml:space="preserve">. </w:t>
      </w:r>
    </w:p>
    <w:p w:rsidR="00062AA9" w:rsidRPr="001E1365" w:rsidRDefault="00062AA9" w:rsidP="00062AA9">
      <w:pPr>
        <w:pStyle w:val="Normalwebb"/>
        <w:shd w:val="clear" w:color="auto" w:fill="FFFFFF"/>
        <w:rPr>
          <w:sz w:val="22"/>
          <w:szCs w:val="22"/>
        </w:rPr>
      </w:pPr>
      <w:bookmarkStart w:id="13" w:name="P47b"/>
      <w:r w:rsidRPr="001E1365">
        <w:rPr>
          <w:b/>
          <w:bCs/>
          <w:sz w:val="22"/>
          <w:szCs w:val="22"/>
        </w:rPr>
        <w:t>47 b §</w:t>
      </w:r>
      <w:bookmarkEnd w:id="13"/>
      <w:r w:rsidRPr="001E1365">
        <w:rPr>
          <w:sz w:val="22"/>
          <w:szCs w:val="22"/>
        </w:rPr>
        <w:t xml:space="preserve"> Om Medlingsinstitutet bedömer att det i en tvist finns risk för stridsåtgärder eller om stridsåtgärder redan har påbörjats, får institutet även utan samtycke från parterna utse en eller flera medlare för att medla i tvisten. </w:t>
      </w:r>
    </w:p>
    <w:p w:rsidR="00062AA9" w:rsidRPr="001E1365" w:rsidRDefault="00062AA9" w:rsidP="00062AA9">
      <w:pPr>
        <w:pStyle w:val="Normalwebb"/>
        <w:shd w:val="clear" w:color="auto" w:fill="FFFFFF"/>
        <w:rPr>
          <w:sz w:val="22"/>
          <w:szCs w:val="22"/>
        </w:rPr>
      </w:pPr>
      <w:r w:rsidRPr="001E1365">
        <w:rPr>
          <w:sz w:val="22"/>
          <w:szCs w:val="22"/>
        </w:rPr>
        <w:t xml:space="preserve">Medlingsinstitutets beslut enligt första stycket får inte överklagas. </w:t>
      </w:r>
    </w:p>
    <w:p w:rsidR="00FF7514" w:rsidRDefault="00062AA9" w:rsidP="00062AA9">
      <w:pPr>
        <w:pStyle w:val="Normalwebb"/>
        <w:shd w:val="clear" w:color="auto" w:fill="FFFFFF"/>
        <w:rPr>
          <w:sz w:val="22"/>
          <w:szCs w:val="22"/>
        </w:rPr>
      </w:pPr>
      <w:r w:rsidRPr="001E1365">
        <w:rPr>
          <w:sz w:val="22"/>
          <w:szCs w:val="22"/>
        </w:rPr>
        <w:t xml:space="preserve">Parter som är ense om att de är bundna av ett avtal om förhandlingsordning som innehåller tidsplaner för förhandlingar, tidsramar och regler för tillsättning av medlare, regler om medlarens </w:t>
      </w:r>
    </w:p>
    <w:p w:rsidR="00062AA9" w:rsidRPr="001E1365" w:rsidRDefault="00FF7514" w:rsidP="00062AA9">
      <w:pPr>
        <w:pStyle w:val="Normalwebb"/>
        <w:shd w:val="clear" w:color="auto" w:fill="FFFFFF"/>
        <w:rPr>
          <w:sz w:val="22"/>
          <w:szCs w:val="22"/>
        </w:rPr>
      </w:pPr>
      <w:r>
        <w:rPr>
          <w:sz w:val="22"/>
          <w:szCs w:val="22"/>
        </w:rPr>
        <w:lastRenderedPageBreak/>
        <w:t>b</w:t>
      </w:r>
      <w:r w:rsidR="00062AA9" w:rsidRPr="001E1365">
        <w:rPr>
          <w:sz w:val="22"/>
          <w:szCs w:val="22"/>
        </w:rPr>
        <w:t xml:space="preserve">efogenheter och regler om uppsägning av avtalet kan anmäla avtalet till Medlingsinstitutet för registrering. När avtalet har registrerats, får under dess giltighetstid medlare inte utses utan samtycke från parterna. </w:t>
      </w:r>
      <w:r w:rsidR="00062AA9" w:rsidRPr="001E1365">
        <w:rPr>
          <w:i/>
          <w:iCs/>
          <w:sz w:val="22"/>
          <w:szCs w:val="22"/>
        </w:rPr>
        <w:t>Lag (2000:163)</w:t>
      </w:r>
      <w:r w:rsidR="00062AA9" w:rsidRPr="001E1365">
        <w:rPr>
          <w:sz w:val="22"/>
          <w:szCs w:val="22"/>
        </w:rPr>
        <w:t xml:space="preserve">. </w:t>
      </w:r>
    </w:p>
    <w:p w:rsidR="00062AA9" w:rsidRPr="001E1365" w:rsidRDefault="00062AA9" w:rsidP="00062AA9">
      <w:pPr>
        <w:pStyle w:val="Normalwebb"/>
        <w:shd w:val="clear" w:color="auto" w:fill="FFFFFF"/>
        <w:rPr>
          <w:sz w:val="22"/>
          <w:szCs w:val="22"/>
        </w:rPr>
      </w:pPr>
      <w:bookmarkStart w:id="14" w:name="P48"/>
      <w:r w:rsidRPr="001E1365">
        <w:rPr>
          <w:b/>
          <w:bCs/>
          <w:sz w:val="22"/>
          <w:szCs w:val="22"/>
        </w:rPr>
        <w:t>48 §</w:t>
      </w:r>
      <w:bookmarkEnd w:id="14"/>
      <w:r w:rsidRPr="001E1365">
        <w:rPr>
          <w:sz w:val="22"/>
          <w:szCs w:val="22"/>
        </w:rPr>
        <w:t xml:space="preserve"> En medlare som utsetts av Medlingsinstitutet skall försöka få till stånd en överenskommelse mellan parterna. Medlaren skall för det ändamålet kalla parterna till förhandling eller vidta annan lämplig åtgärd. För att främja en god lösning av tvisten, kan medlaren lägga fram egna förslag till överenskommelse. </w:t>
      </w:r>
    </w:p>
    <w:p w:rsidR="00062AA9" w:rsidRPr="001E1365" w:rsidRDefault="00062AA9" w:rsidP="00062AA9">
      <w:pPr>
        <w:pStyle w:val="Normalwebb"/>
        <w:shd w:val="clear" w:color="auto" w:fill="FFFFFF"/>
        <w:rPr>
          <w:sz w:val="22"/>
          <w:szCs w:val="22"/>
        </w:rPr>
      </w:pPr>
      <w:r w:rsidRPr="001E1365">
        <w:rPr>
          <w:sz w:val="22"/>
          <w:szCs w:val="22"/>
        </w:rPr>
        <w:t xml:space="preserve">Medlaren skall också verka för att en part uppskjuter eller inställer en stridsåtgärd. </w:t>
      </w:r>
      <w:r w:rsidRPr="001E1365">
        <w:rPr>
          <w:i/>
          <w:iCs/>
          <w:sz w:val="22"/>
          <w:szCs w:val="22"/>
        </w:rPr>
        <w:t>Lag (2000:163)</w:t>
      </w:r>
      <w:r w:rsidRPr="001E1365">
        <w:rPr>
          <w:sz w:val="22"/>
          <w:szCs w:val="22"/>
        </w:rPr>
        <w:t xml:space="preserve">. </w:t>
      </w:r>
    </w:p>
    <w:p w:rsidR="00062AA9" w:rsidRPr="001E1365" w:rsidRDefault="00062AA9" w:rsidP="00062AA9">
      <w:pPr>
        <w:pStyle w:val="Normalwebb"/>
        <w:shd w:val="clear" w:color="auto" w:fill="FFFFFF"/>
        <w:rPr>
          <w:sz w:val="22"/>
          <w:szCs w:val="22"/>
        </w:rPr>
      </w:pPr>
      <w:bookmarkStart w:id="15" w:name="P49"/>
      <w:r w:rsidRPr="001E1365">
        <w:rPr>
          <w:b/>
          <w:bCs/>
          <w:sz w:val="22"/>
          <w:szCs w:val="22"/>
        </w:rPr>
        <w:t>49 §</w:t>
      </w:r>
      <w:bookmarkEnd w:id="15"/>
      <w:r w:rsidRPr="001E1365">
        <w:rPr>
          <w:sz w:val="22"/>
          <w:szCs w:val="22"/>
        </w:rPr>
        <w:t xml:space="preserve"> Om det främjar en god lösning av tvisten, får Medlingsinstitutet på medlarens begäran besluta att en part skall skjuta upp varslade stridsåtgärder under en sammanhängande tid av högst 14 dagar för varje stridsåtgärd eller utvidgning av en stridsåtgärd. Ett sådant beslut får meddelas endast en gång för varje medlingsuppdrag. Tidsfristen skall räknas från den dag då åtgärden enligt varselmeddelandet skall påbörjas eller utvidgas. Beslutet skall om möjligt föregås av samråd med parterna. </w:t>
      </w:r>
    </w:p>
    <w:p w:rsidR="00062AA9" w:rsidRPr="001E1365" w:rsidRDefault="00062AA9" w:rsidP="00062AA9">
      <w:pPr>
        <w:pStyle w:val="Normalwebb"/>
        <w:shd w:val="clear" w:color="auto" w:fill="FFFFFF"/>
        <w:rPr>
          <w:sz w:val="22"/>
          <w:szCs w:val="22"/>
        </w:rPr>
      </w:pPr>
      <w:r w:rsidRPr="001E1365">
        <w:rPr>
          <w:sz w:val="22"/>
          <w:szCs w:val="22"/>
        </w:rPr>
        <w:t xml:space="preserve">Medlingsinstitutets beslut enligt första stycket får inte överklagas. </w:t>
      </w:r>
      <w:r w:rsidRPr="001E1365">
        <w:rPr>
          <w:i/>
          <w:iCs/>
          <w:sz w:val="22"/>
          <w:szCs w:val="22"/>
        </w:rPr>
        <w:t>Lag (2000:163)</w:t>
      </w:r>
      <w:r w:rsidRPr="001E1365">
        <w:rPr>
          <w:sz w:val="22"/>
          <w:szCs w:val="22"/>
        </w:rPr>
        <w:t xml:space="preserve">. </w:t>
      </w:r>
    </w:p>
    <w:p w:rsidR="00062AA9" w:rsidRPr="001E1365" w:rsidRDefault="00062AA9" w:rsidP="00062AA9">
      <w:pPr>
        <w:pStyle w:val="Normalwebb"/>
        <w:shd w:val="clear" w:color="auto" w:fill="FFFFFF"/>
        <w:rPr>
          <w:sz w:val="22"/>
          <w:szCs w:val="22"/>
        </w:rPr>
      </w:pPr>
      <w:bookmarkStart w:id="16" w:name="P50"/>
      <w:r w:rsidRPr="001E1365">
        <w:rPr>
          <w:b/>
          <w:bCs/>
          <w:sz w:val="22"/>
          <w:szCs w:val="22"/>
        </w:rPr>
        <w:t>50 §</w:t>
      </w:r>
      <w:bookmarkEnd w:id="16"/>
      <w:r w:rsidRPr="001E1365">
        <w:rPr>
          <w:sz w:val="22"/>
          <w:szCs w:val="22"/>
        </w:rPr>
        <w:t xml:space="preserve"> En parts skyldighet enligt 18 § att vid förhandling hålla skriftlig handling tillgänglig för motparten gäller även i förhållande till en medlare som medverkar vid förhandlingen. </w:t>
      </w:r>
      <w:r w:rsidRPr="001E1365">
        <w:rPr>
          <w:i/>
          <w:iCs/>
          <w:sz w:val="22"/>
          <w:szCs w:val="22"/>
        </w:rPr>
        <w:t>Lag (2000:163)</w:t>
      </w:r>
      <w:r w:rsidRPr="001E1365">
        <w:rPr>
          <w:sz w:val="22"/>
          <w:szCs w:val="22"/>
        </w:rPr>
        <w:t xml:space="preserve">. </w:t>
      </w:r>
    </w:p>
    <w:p w:rsidR="00062AA9" w:rsidRPr="001E1365" w:rsidRDefault="00062AA9" w:rsidP="00062AA9">
      <w:pPr>
        <w:pStyle w:val="Normalwebb"/>
        <w:shd w:val="clear" w:color="auto" w:fill="FFFFFF"/>
        <w:rPr>
          <w:sz w:val="22"/>
          <w:szCs w:val="22"/>
        </w:rPr>
      </w:pPr>
      <w:bookmarkStart w:id="17" w:name="P51"/>
      <w:r w:rsidRPr="001E1365">
        <w:rPr>
          <w:b/>
          <w:bCs/>
          <w:sz w:val="22"/>
          <w:szCs w:val="22"/>
        </w:rPr>
        <w:t>51 §</w:t>
      </w:r>
      <w:bookmarkEnd w:id="17"/>
      <w:r w:rsidRPr="001E1365">
        <w:rPr>
          <w:sz w:val="22"/>
          <w:szCs w:val="22"/>
        </w:rPr>
        <w:t xml:space="preserve"> En medlare kan föreslå parterna att låta en tvist avgöras genom skiljeförfarande. </w:t>
      </w:r>
    </w:p>
    <w:p w:rsidR="00062AA9" w:rsidRPr="001E1365" w:rsidRDefault="00062AA9" w:rsidP="00062AA9">
      <w:pPr>
        <w:pStyle w:val="Normalwebb"/>
        <w:shd w:val="clear" w:color="auto" w:fill="FFFFFF"/>
        <w:rPr>
          <w:sz w:val="22"/>
          <w:szCs w:val="22"/>
        </w:rPr>
      </w:pPr>
      <w:r w:rsidRPr="001E1365">
        <w:rPr>
          <w:sz w:val="22"/>
          <w:szCs w:val="22"/>
        </w:rPr>
        <w:t xml:space="preserve">Medlingsinstitutet kan medverka vid utseende av skiljemän. </w:t>
      </w:r>
    </w:p>
    <w:p w:rsidR="00062AA9" w:rsidRPr="001E1365" w:rsidRDefault="00062AA9" w:rsidP="00062AA9">
      <w:pPr>
        <w:pStyle w:val="Normalwebb"/>
        <w:shd w:val="clear" w:color="auto" w:fill="FFFFFF"/>
        <w:rPr>
          <w:sz w:val="22"/>
          <w:szCs w:val="22"/>
        </w:rPr>
      </w:pPr>
      <w:r w:rsidRPr="001E1365">
        <w:rPr>
          <w:sz w:val="22"/>
          <w:szCs w:val="22"/>
        </w:rPr>
        <w:t xml:space="preserve">Om stridsåtgärder har påbörjats, kan Medlingsinstitutet uppmana parterna att låta tvisten avgöras genom skiljeförfarande. </w:t>
      </w:r>
    </w:p>
    <w:p w:rsidR="00FF7514" w:rsidRDefault="00FF7514" w:rsidP="00062AA9">
      <w:pPr>
        <w:pStyle w:val="Normalwebb"/>
        <w:shd w:val="clear" w:color="auto" w:fill="FFFFFF"/>
        <w:rPr>
          <w:sz w:val="22"/>
          <w:szCs w:val="22"/>
        </w:rPr>
        <w:sectPr w:rsidR="00FF7514" w:rsidSect="00FF7514">
          <w:type w:val="continuous"/>
          <w:pgSz w:w="11880" w:h="16800" w:code="9"/>
          <w:pgMar w:top="1276" w:right="1815" w:bottom="4536" w:left="1701" w:header="851" w:footer="414" w:gutter="0"/>
          <w:cols w:num="2" w:space="707"/>
          <w:formProt w:val="0"/>
          <w:titlePg/>
          <w:docGrid w:linePitch="313"/>
        </w:sectPr>
      </w:pPr>
    </w:p>
    <w:p w:rsidR="00062AA9" w:rsidRPr="001E1365" w:rsidRDefault="00062AA9" w:rsidP="00062AA9">
      <w:pPr>
        <w:pStyle w:val="Normalwebb"/>
        <w:shd w:val="clear" w:color="auto" w:fill="FFFFFF"/>
        <w:rPr>
          <w:sz w:val="22"/>
          <w:szCs w:val="22"/>
        </w:rPr>
      </w:pPr>
      <w:r w:rsidRPr="001E1365">
        <w:rPr>
          <w:sz w:val="22"/>
          <w:szCs w:val="22"/>
        </w:rPr>
        <w:lastRenderedPageBreak/>
        <w:t xml:space="preserve">En medlare får inte åta sig skiljemannauppdrag i arbetstvist, om inte Medlingsinstitutet i särskilt fall medger det. </w:t>
      </w:r>
      <w:r w:rsidRPr="001E1365">
        <w:rPr>
          <w:i/>
          <w:iCs/>
          <w:sz w:val="22"/>
          <w:szCs w:val="22"/>
        </w:rPr>
        <w:t>Lag (2000:163)</w:t>
      </w:r>
      <w:r w:rsidRPr="001E1365">
        <w:rPr>
          <w:sz w:val="22"/>
          <w:szCs w:val="22"/>
        </w:rPr>
        <w:t xml:space="preserve">. </w:t>
      </w:r>
    </w:p>
    <w:p w:rsidR="00062AA9" w:rsidRPr="001E1365" w:rsidRDefault="00062AA9" w:rsidP="00062AA9">
      <w:pPr>
        <w:pStyle w:val="Normalwebb"/>
        <w:shd w:val="clear" w:color="auto" w:fill="FFFFFF"/>
        <w:rPr>
          <w:sz w:val="22"/>
          <w:szCs w:val="22"/>
        </w:rPr>
      </w:pPr>
      <w:bookmarkStart w:id="18" w:name="P52"/>
      <w:r w:rsidRPr="001E1365">
        <w:rPr>
          <w:b/>
          <w:bCs/>
          <w:sz w:val="22"/>
          <w:szCs w:val="22"/>
        </w:rPr>
        <w:t>52 §</w:t>
      </w:r>
      <w:bookmarkEnd w:id="18"/>
      <w:r w:rsidRPr="001E1365">
        <w:rPr>
          <w:sz w:val="22"/>
          <w:szCs w:val="22"/>
        </w:rPr>
        <w:t xml:space="preserve"> Om en part har kallats till en överläggning enligt 47 § första stycket och inte infinner sig, kan Medlingsinstitutet förelägga parten vid vite att komma till en överläggning. </w:t>
      </w:r>
    </w:p>
    <w:p w:rsidR="00062AA9" w:rsidRPr="001E1365" w:rsidRDefault="00062AA9" w:rsidP="00062AA9">
      <w:pPr>
        <w:pStyle w:val="Normalwebb"/>
        <w:shd w:val="clear" w:color="auto" w:fill="FFFFFF"/>
        <w:rPr>
          <w:sz w:val="22"/>
          <w:szCs w:val="22"/>
        </w:rPr>
      </w:pPr>
      <w:r w:rsidRPr="001E1365">
        <w:rPr>
          <w:sz w:val="22"/>
          <w:szCs w:val="22"/>
        </w:rPr>
        <w:t xml:space="preserve">Om en part, som enligt 10 § är förhandlingsskyldig, har kallats till en förhandling inför medlare men inte infinner sig eller om parten på annat sätt underlåter att fullgöra sina skyldigheter enligt 15 § första stycket, kan Medlingsinstitutet på begäran av medlaren förelägga parten vid vite att fullgöra sin förhandlingsskyldighet. </w:t>
      </w:r>
    </w:p>
    <w:p w:rsidR="00062AA9" w:rsidRPr="001E1365" w:rsidRDefault="00062AA9" w:rsidP="00062AA9">
      <w:pPr>
        <w:pStyle w:val="Normalwebb"/>
        <w:shd w:val="clear" w:color="auto" w:fill="FFFFFF"/>
        <w:rPr>
          <w:sz w:val="22"/>
          <w:szCs w:val="22"/>
        </w:rPr>
      </w:pPr>
      <w:r w:rsidRPr="001E1365">
        <w:rPr>
          <w:sz w:val="22"/>
          <w:szCs w:val="22"/>
        </w:rPr>
        <w:t xml:space="preserve">Medlingsinstitutets beslut enligt första och andra styckena får inte överklagas. </w:t>
      </w:r>
    </w:p>
    <w:p w:rsidR="00062AA9" w:rsidRPr="001E1365" w:rsidRDefault="00062AA9" w:rsidP="00062AA9">
      <w:pPr>
        <w:pStyle w:val="Normalwebb"/>
        <w:shd w:val="clear" w:color="auto" w:fill="FFFFFF"/>
        <w:rPr>
          <w:sz w:val="22"/>
          <w:szCs w:val="22"/>
        </w:rPr>
      </w:pPr>
      <w:r w:rsidRPr="001E1365">
        <w:rPr>
          <w:sz w:val="22"/>
          <w:szCs w:val="22"/>
        </w:rPr>
        <w:t xml:space="preserve">Talan om utdömande av vite förs av Medlingsinstitutet vid Arbetsdomstolen. I mål om utdömande av vite får Arbetsdomstolen bedöma även vitets lämplighet. </w:t>
      </w:r>
      <w:r w:rsidRPr="001E1365">
        <w:rPr>
          <w:i/>
          <w:iCs/>
          <w:sz w:val="22"/>
          <w:szCs w:val="22"/>
        </w:rPr>
        <w:t>Lag (2000:163)</w:t>
      </w:r>
      <w:r w:rsidRPr="001E1365">
        <w:rPr>
          <w:sz w:val="22"/>
          <w:szCs w:val="22"/>
        </w:rPr>
        <w:t xml:space="preserve">. </w:t>
      </w:r>
    </w:p>
    <w:p w:rsidR="00062AA9" w:rsidRPr="001E1365" w:rsidRDefault="00062AA9" w:rsidP="00062AA9">
      <w:pPr>
        <w:pStyle w:val="Normalwebb"/>
        <w:shd w:val="clear" w:color="auto" w:fill="FFFFFF"/>
        <w:rPr>
          <w:sz w:val="22"/>
          <w:szCs w:val="22"/>
        </w:rPr>
      </w:pPr>
      <w:bookmarkStart w:id="19" w:name="P53"/>
      <w:r w:rsidRPr="001E1365">
        <w:rPr>
          <w:b/>
          <w:bCs/>
          <w:sz w:val="22"/>
          <w:szCs w:val="22"/>
        </w:rPr>
        <w:t>53 §</w:t>
      </w:r>
      <w:bookmarkEnd w:id="19"/>
      <w:r w:rsidRPr="001E1365">
        <w:rPr>
          <w:sz w:val="22"/>
          <w:szCs w:val="22"/>
        </w:rPr>
        <w:t xml:space="preserve"> Om en part underlåter att fullgöra sin skyldighet enligt 47 § tredje stycket att ge in en kopia av ett kollektivavtal, kan Medlingsinstitutet förelägga parten vid vite att ge in kopian. </w:t>
      </w:r>
    </w:p>
    <w:p w:rsidR="00062AA9" w:rsidRPr="001E1365" w:rsidRDefault="00062AA9" w:rsidP="00062AA9">
      <w:pPr>
        <w:pStyle w:val="Normalwebb"/>
        <w:shd w:val="clear" w:color="auto" w:fill="FFFFFF"/>
        <w:rPr>
          <w:sz w:val="22"/>
          <w:szCs w:val="22"/>
        </w:rPr>
      </w:pPr>
      <w:r w:rsidRPr="001E1365">
        <w:rPr>
          <w:sz w:val="22"/>
          <w:szCs w:val="22"/>
        </w:rPr>
        <w:t xml:space="preserve">Medlingsinstitutets beslut enligt första stycket får inte överklagas. </w:t>
      </w:r>
    </w:p>
    <w:p w:rsidR="00062AA9" w:rsidRPr="001E1365" w:rsidRDefault="00062AA9" w:rsidP="00062AA9">
      <w:pPr>
        <w:pStyle w:val="Normalwebb"/>
        <w:shd w:val="clear" w:color="auto" w:fill="FFFFFF"/>
        <w:rPr>
          <w:sz w:val="22"/>
          <w:szCs w:val="22"/>
        </w:rPr>
      </w:pPr>
      <w:r w:rsidRPr="001E1365">
        <w:rPr>
          <w:sz w:val="22"/>
          <w:szCs w:val="22"/>
        </w:rPr>
        <w:t xml:space="preserve">Talan om utdömande av vite förs av Medlingsinstitutet vid Arbetsdomstolen. I mål om utdömande av vite får </w:t>
      </w:r>
      <w:r w:rsidRPr="001E1365">
        <w:rPr>
          <w:sz w:val="22"/>
          <w:szCs w:val="22"/>
        </w:rPr>
        <w:lastRenderedPageBreak/>
        <w:t xml:space="preserve">Arbetsdomstolen bedöma även vitets lämplighet. </w:t>
      </w:r>
      <w:r w:rsidRPr="001E1365">
        <w:rPr>
          <w:i/>
          <w:iCs/>
          <w:sz w:val="22"/>
          <w:szCs w:val="22"/>
        </w:rPr>
        <w:t>Lag (2000:163)</w:t>
      </w:r>
      <w:r w:rsidRPr="001E1365">
        <w:rPr>
          <w:sz w:val="22"/>
          <w:szCs w:val="22"/>
        </w:rPr>
        <w:t>.</w:t>
      </w:r>
    </w:p>
    <w:p w:rsidR="00062AA9" w:rsidRPr="001E1365" w:rsidRDefault="00062AA9" w:rsidP="00A6594D">
      <w:pPr>
        <w:pStyle w:val="Normalwebb"/>
        <w:shd w:val="clear" w:color="auto" w:fill="FFFFFF"/>
        <w:spacing w:before="240" w:beforeAutospacing="0" w:after="0"/>
        <w:rPr>
          <w:sz w:val="22"/>
          <w:szCs w:val="22"/>
        </w:rPr>
      </w:pPr>
      <w:bookmarkStart w:id="20" w:name="P62a"/>
      <w:r w:rsidRPr="001E1365">
        <w:rPr>
          <w:b/>
          <w:bCs/>
          <w:sz w:val="22"/>
          <w:szCs w:val="22"/>
        </w:rPr>
        <w:t>62 a §</w:t>
      </w:r>
      <w:bookmarkEnd w:id="20"/>
      <w:r w:rsidRPr="001E1365">
        <w:rPr>
          <w:sz w:val="22"/>
          <w:szCs w:val="22"/>
        </w:rPr>
        <w:t xml:space="preserve"> Den som underlåter att varsla Medlingsinstitutet enligt 45 § skall åläggas att betala en varselavgift till staten. Varselavgiften skall bestämmas till lägst 30 000 kr och högst 100 000 kr. Om det finns särskilda skäl kan varselavgiften bestämmas till ett lägre belopp eller helt falla bort.</w:t>
      </w:r>
    </w:p>
    <w:p w:rsidR="00062AA9" w:rsidRPr="001E1365" w:rsidRDefault="00062AA9" w:rsidP="00062AA9">
      <w:pPr>
        <w:pStyle w:val="Normalwebb"/>
        <w:shd w:val="clear" w:color="auto" w:fill="FFFFFF"/>
        <w:rPr>
          <w:sz w:val="22"/>
          <w:szCs w:val="22"/>
        </w:rPr>
      </w:pPr>
      <w:r w:rsidRPr="001E1365">
        <w:rPr>
          <w:sz w:val="22"/>
          <w:szCs w:val="22"/>
        </w:rPr>
        <w:t xml:space="preserve">Den som vidtar en stridsåtgärd i strid mot Medlingsinstitutets beslut enligt 49 § att en varslad stridsåtgärd skall skjutas upp skall åläggas att betala en förhöjd varselavgift om minst 300 000 kr och högst 1 000 000 kr till staten. Om det finns särskilda skäl kan varselavgiften bestämmas till ett lägre belopp eller helt falla bort. </w:t>
      </w:r>
    </w:p>
    <w:p w:rsidR="00062AA9" w:rsidRPr="00A6594D" w:rsidRDefault="00062AA9" w:rsidP="00A6594D">
      <w:pPr>
        <w:pStyle w:val="Normalwebb"/>
        <w:shd w:val="clear" w:color="auto" w:fill="FFFFFF"/>
        <w:rPr>
          <w:sz w:val="22"/>
          <w:szCs w:val="22"/>
        </w:rPr>
        <w:sectPr w:rsidR="00062AA9" w:rsidRPr="00A6594D" w:rsidSect="00A6594D">
          <w:type w:val="continuous"/>
          <w:pgSz w:w="11880" w:h="16800" w:code="9"/>
          <w:pgMar w:top="1276" w:right="1815" w:bottom="4536" w:left="1701" w:header="851" w:footer="414" w:gutter="0"/>
          <w:cols w:num="2" w:space="707"/>
          <w:formProt w:val="0"/>
          <w:titlePg/>
          <w:docGrid w:linePitch="313"/>
        </w:sectPr>
      </w:pPr>
      <w:r w:rsidRPr="001E1365">
        <w:rPr>
          <w:sz w:val="22"/>
          <w:szCs w:val="22"/>
        </w:rPr>
        <w:t xml:space="preserve">Varselavgiften åläggs av tingsrätt på talan av Medlingsinstitutet. Talan skall väckas inom ett år från den dag varsel skulle ha lämnats eller, när det gäller förhöjd varselavgift enligt andra stycket, den dag då stridsåtgärden vidtogs. Försummas det får talan inte väckas. </w:t>
      </w:r>
      <w:r w:rsidRPr="001E1365">
        <w:rPr>
          <w:i/>
          <w:iCs/>
          <w:sz w:val="22"/>
          <w:szCs w:val="22"/>
        </w:rPr>
        <w:t>Lag (2000:163)</w:t>
      </w:r>
    </w:p>
    <w:p w:rsidR="008A180B" w:rsidRPr="00EF683B" w:rsidRDefault="008A180B" w:rsidP="008A180B">
      <w:pPr>
        <w:rPr>
          <w:b/>
        </w:rPr>
      </w:pPr>
      <w:r w:rsidRPr="00EF683B">
        <w:rPr>
          <w:b/>
          <w:noProof/>
          <w:lang w:eastAsia="sv-SE"/>
        </w:rPr>
        <w:lastRenderedPageBreak/>
        <w:drawing>
          <wp:anchor distT="0" distB="0" distL="114300" distR="114300" simplePos="0" relativeHeight="251671552" behindDoc="1" locked="0" layoutInCell="1" allowOverlap="1" wp14:anchorId="7BCC45CC" wp14:editId="669EAB2D">
            <wp:simplePos x="0" y="0"/>
            <wp:positionH relativeFrom="column">
              <wp:posOffset>-1905</wp:posOffset>
            </wp:positionH>
            <wp:positionV relativeFrom="paragraph">
              <wp:posOffset>-163830</wp:posOffset>
            </wp:positionV>
            <wp:extent cx="9753600" cy="1276350"/>
            <wp:effectExtent l="0" t="0" r="0" b="0"/>
            <wp:wrapTight wrapText="bothSides">
              <wp:wrapPolygon edited="0">
                <wp:start x="0" y="0"/>
                <wp:lineTo x="0" y="21278"/>
                <wp:lineTo x="21558" y="21278"/>
                <wp:lineTo x="21558" y="0"/>
                <wp:lineTo x="0" y="0"/>
              </wp:wrapPolygon>
            </wp:wrapTight>
            <wp:docPr id="2" name="Bildobjekt 2" descr="C:\Users\boan\Desktop\MI-Word-Header-Liggand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an\Desktop\MI-Word-Header-Liggande[1].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75360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180B" w:rsidRPr="00EF683B" w:rsidRDefault="008A180B" w:rsidP="008A180B">
      <w:pPr>
        <w:pStyle w:val="Tabellrubrik1"/>
        <w:rPr>
          <w:b/>
        </w:rPr>
      </w:pPr>
      <w:r w:rsidRPr="00EF683B">
        <w:rPr>
          <w:b/>
        </w:rPr>
        <w:t>Sammanställning över varsel- och cent</w:t>
      </w:r>
      <w:r>
        <w:rPr>
          <w:b/>
        </w:rPr>
        <w:t>rala medlingsärenden 2012 (till och med 13 november</w:t>
      </w:r>
      <w:r w:rsidRPr="00EF683B">
        <w:rPr>
          <w:b/>
        </w:rPr>
        <w:t>)</w:t>
      </w:r>
      <w:r w:rsidRPr="00EF683B">
        <w:rPr>
          <w:b/>
        </w:rPr>
        <w:br/>
        <w:t>– förhandlingar om förbundsavtal</w:t>
      </w:r>
    </w:p>
    <w:tbl>
      <w:tblPr>
        <w:tblW w:w="153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2"/>
        <w:gridCol w:w="2260"/>
        <w:gridCol w:w="2472"/>
        <w:gridCol w:w="1281"/>
        <w:gridCol w:w="1547"/>
        <w:gridCol w:w="1355"/>
        <w:gridCol w:w="1843"/>
        <w:gridCol w:w="1275"/>
      </w:tblGrid>
      <w:tr w:rsidR="008A180B" w:rsidRPr="00EF683B" w:rsidTr="008A180B">
        <w:tc>
          <w:tcPr>
            <w:tcW w:w="3312" w:type="dxa"/>
            <w:tcBorders>
              <w:bottom w:val="single" w:sz="4" w:space="0" w:color="auto"/>
            </w:tcBorders>
            <w:shd w:val="clear" w:color="auto" w:fill="auto"/>
          </w:tcPr>
          <w:p w:rsidR="008A180B" w:rsidRPr="00EF683B" w:rsidRDefault="008A180B" w:rsidP="008A180B">
            <w:pPr>
              <w:pStyle w:val="Tabellhuvud"/>
              <w:jc w:val="left"/>
              <w:rPr>
                <w:rFonts w:eastAsia="Times New Roman"/>
              </w:rPr>
            </w:pPr>
            <w:r w:rsidRPr="00EF683B">
              <w:rPr>
                <w:rFonts w:eastAsia="Times New Roman"/>
              </w:rPr>
              <w:t>Parter</w:t>
            </w:r>
          </w:p>
        </w:tc>
        <w:tc>
          <w:tcPr>
            <w:tcW w:w="2260" w:type="dxa"/>
            <w:tcBorders>
              <w:bottom w:val="single" w:sz="4" w:space="0" w:color="auto"/>
            </w:tcBorders>
            <w:shd w:val="clear" w:color="auto" w:fill="auto"/>
          </w:tcPr>
          <w:p w:rsidR="008A180B" w:rsidRPr="00EF683B" w:rsidRDefault="008A180B" w:rsidP="008A180B">
            <w:pPr>
              <w:pStyle w:val="Tabellhuvud"/>
              <w:jc w:val="left"/>
              <w:rPr>
                <w:rFonts w:eastAsia="Times New Roman"/>
              </w:rPr>
            </w:pPr>
            <w:r w:rsidRPr="00EF683B">
              <w:rPr>
                <w:rFonts w:eastAsia="Times New Roman"/>
              </w:rPr>
              <w:t>Medlare</w:t>
            </w:r>
          </w:p>
        </w:tc>
        <w:tc>
          <w:tcPr>
            <w:tcW w:w="2472" w:type="dxa"/>
            <w:tcBorders>
              <w:bottom w:val="single" w:sz="4" w:space="0" w:color="auto"/>
            </w:tcBorders>
            <w:shd w:val="clear" w:color="auto" w:fill="auto"/>
          </w:tcPr>
          <w:p w:rsidR="008A180B" w:rsidRPr="00EF683B" w:rsidRDefault="008A180B" w:rsidP="008A180B">
            <w:pPr>
              <w:pStyle w:val="Tabellhuvud"/>
              <w:jc w:val="left"/>
              <w:rPr>
                <w:rFonts w:eastAsia="Times New Roman"/>
              </w:rPr>
            </w:pPr>
            <w:r w:rsidRPr="00EF683B">
              <w:rPr>
                <w:rFonts w:eastAsia="Times New Roman"/>
              </w:rPr>
              <w:t>Förbundsavtal</w:t>
            </w:r>
          </w:p>
        </w:tc>
        <w:tc>
          <w:tcPr>
            <w:tcW w:w="1281" w:type="dxa"/>
            <w:tcBorders>
              <w:bottom w:val="single" w:sz="4" w:space="0" w:color="auto"/>
            </w:tcBorders>
            <w:shd w:val="clear" w:color="auto" w:fill="auto"/>
          </w:tcPr>
          <w:p w:rsidR="008A180B" w:rsidRPr="00686636" w:rsidRDefault="008A180B" w:rsidP="008A180B">
            <w:pPr>
              <w:pStyle w:val="Tabellhuvud"/>
              <w:jc w:val="left"/>
              <w:rPr>
                <w:rFonts w:eastAsia="Times New Roman"/>
                <w:vertAlign w:val="superscript"/>
              </w:rPr>
            </w:pPr>
            <w:r w:rsidRPr="00EF683B">
              <w:rPr>
                <w:rFonts w:eastAsia="Times New Roman"/>
              </w:rPr>
              <w:t>Varsel</w:t>
            </w:r>
            <w:r>
              <w:rPr>
                <w:rFonts w:eastAsia="Times New Roman"/>
              </w:rPr>
              <w:t xml:space="preserve"> om stridsåtgärder</w:t>
            </w:r>
            <w:r>
              <w:rPr>
                <w:rFonts w:eastAsia="Times New Roman"/>
                <w:vertAlign w:val="superscript"/>
              </w:rPr>
              <w:t>1</w:t>
            </w:r>
          </w:p>
        </w:tc>
        <w:tc>
          <w:tcPr>
            <w:tcW w:w="1547" w:type="dxa"/>
            <w:tcBorders>
              <w:bottom w:val="single" w:sz="4" w:space="0" w:color="auto"/>
            </w:tcBorders>
          </w:tcPr>
          <w:p w:rsidR="008A180B" w:rsidRPr="00686636" w:rsidRDefault="008A180B" w:rsidP="008A180B">
            <w:pPr>
              <w:pStyle w:val="Tabellhuvud"/>
              <w:jc w:val="left"/>
              <w:rPr>
                <w:rFonts w:eastAsia="Times New Roman"/>
                <w:vertAlign w:val="superscript"/>
              </w:rPr>
            </w:pPr>
            <w:r>
              <w:rPr>
                <w:rFonts w:eastAsia="Times New Roman"/>
              </w:rPr>
              <w:t>Varsel om sympatiåtgärder</w:t>
            </w:r>
            <w:r>
              <w:rPr>
                <w:rFonts w:eastAsia="Times New Roman"/>
                <w:vertAlign w:val="superscript"/>
              </w:rPr>
              <w:t>1</w:t>
            </w:r>
          </w:p>
        </w:tc>
        <w:tc>
          <w:tcPr>
            <w:tcW w:w="1355" w:type="dxa"/>
            <w:tcBorders>
              <w:bottom w:val="single" w:sz="4" w:space="0" w:color="auto"/>
            </w:tcBorders>
            <w:shd w:val="clear" w:color="auto" w:fill="auto"/>
          </w:tcPr>
          <w:p w:rsidR="008A180B" w:rsidRPr="00EF683B" w:rsidRDefault="008A180B" w:rsidP="008A180B">
            <w:pPr>
              <w:pStyle w:val="Tabellhuvud"/>
              <w:jc w:val="left"/>
              <w:rPr>
                <w:rFonts w:eastAsia="Times New Roman"/>
              </w:rPr>
            </w:pPr>
            <w:r w:rsidRPr="00EF683B">
              <w:rPr>
                <w:rFonts w:eastAsia="Times New Roman"/>
              </w:rPr>
              <w:t>Verkställda stridsåtgärder</w:t>
            </w:r>
            <w:r>
              <w:rPr>
                <w:rFonts w:eastAsia="Times New Roman"/>
                <w:vertAlign w:val="superscript"/>
              </w:rPr>
              <w:t>1</w:t>
            </w:r>
            <w:r w:rsidRPr="00EF683B">
              <w:rPr>
                <w:rFonts w:eastAsia="Times New Roman"/>
              </w:rPr>
              <w:t xml:space="preserve"> </w:t>
            </w:r>
          </w:p>
        </w:tc>
        <w:tc>
          <w:tcPr>
            <w:tcW w:w="1843" w:type="dxa"/>
            <w:tcBorders>
              <w:bottom w:val="single" w:sz="4" w:space="0" w:color="auto"/>
            </w:tcBorders>
            <w:shd w:val="clear" w:color="auto" w:fill="auto"/>
          </w:tcPr>
          <w:p w:rsidR="008A180B" w:rsidRPr="00EF683B" w:rsidRDefault="008A180B" w:rsidP="008A180B">
            <w:pPr>
              <w:pStyle w:val="Tabellhuvud"/>
              <w:jc w:val="left"/>
              <w:rPr>
                <w:rFonts w:eastAsia="Times New Roman"/>
              </w:rPr>
            </w:pPr>
            <w:r w:rsidRPr="00EF683B">
              <w:rPr>
                <w:rFonts w:eastAsia="Times New Roman"/>
              </w:rPr>
              <w:t>Preliminärt antal förlorade arbetsdagar</w:t>
            </w:r>
          </w:p>
        </w:tc>
        <w:tc>
          <w:tcPr>
            <w:tcW w:w="1275" w:type="dxa"/>
            <w:tcBorders>
              <w:bottom w:val="single" w:sz="4" w:space="0" w:color="auto"/>
            </w:tcBorders>
            <w:shd w:val="clear" w:color="auto" w:fill="auto"/>
          </w:tcPr>
          <w:p w:rsidR="008A180B" w:rsidRPr="00EF683B" w:rsidRDefault="008A180B" w:rsidP="008A180B">
            <w:pPr>
              <w:pStyle w:val="Tabellhuvud"/>
              <w:jc w:val="left"/>
              <w:rPr>
                <w:rFonts w:eastAsia="Times New Roman"/>
              </w:rPr>
            </w:pPr>
            <w:r w:rsidRPr="00EF683B">
              <w:rPr>
                <w:rFonts w:eastAsia="Times New Roman"/>
              </w:rPr>
              <w:t>Avtal klart</w:t>
            </w:r>
          </w:p>
        </w:tc>
      </w:tr>
      <w:tr w:rsidR="008A180B" w:rsidRPr="00EF683B" w:rsidTr="008A180B">
        <w:tc>
          <w:tcPr>
            <w:tcW w:w="3312" w:type="dxa"/>
            <w:tcBorders>
              <w:top w:val="single" w:sz="4" w:space="0" w:color="auto"/>
              <w:left w:val="single" w:sz="4" w:space="0" w:color="auto"/>
              <w:bottom w:val="nil"/>
            </w:tcBorders>
            <w:shd w:val="clear" w:color="auto" w:fill="FBD4B4" w:themeFill="accent6" w:themeFillTint="66"/>
          </w:tcPr>
          <w:p w:rsidR="008A180B" w:rsidRPr="00EF683B" w:rsidRDefault="008A180B" w:rsidP="008A180B">
            <w:pPr>
              <w:pStyle w:val="Tabellinnehllvnster"/>
              <w:rPr>
                <w:rFonts w:eastAsia="Times New Roman"/>
                <w:b/>
              </w:rPr>
            </w:pPr>
            <w:r w:rsidRPr="00EF683B">
              <w:rPr>
                <w:rFonts w:eastAsia="Times New Roman"/>
                <w:b/>
              </w:rPr>
              <w:t>1. Svenska Flygbranschen ./.</w:t>
            </w:r>
            <w:r w:rsidRPr="00EF683B">
              <w:rPr>
                <w:rFonts w:eastAsia="Times New Roman"/>
                <w:b/>
              </w:rPr>
              <w:br/>
              <w:t>Unionen</w:t>
            </w:r>
            <w:r w:rsidRPr="00EF683B">
              <w:rPr>
                <w:rFonts w:eastAsia="Times New Roman"/>
                <w:b/>
              </w:rPr>
              <w:br/>
            </w:r>
          </w:p>
        </w:tc>
        <w:tc>
          <w:tcPr>
            <w:tcW w:w="2260" w:type="dxa"/>
            <w:tcBorders>
              <w:top w:val="single" w:sz="4" w:space="0" w:color="auto"/>
              <w:bottom w:val="nil"/>
            </w:tcBorders>
            <w:shd w:val="clear" w:color="auto" w:fill="FBD4B4" w:themeFill="accent6" w:themeFillTint="66"/>
          </w:tcPr>
          <w:p w:rsidR="008A180B" w:rsidRPr="00EF683B" w:rsidRDefault="008A180B" w:rsidP="008A180B">
            <w:pPr>
              <w:pStyle w:val="Tabellinnehllvnster"/>
              <w:rPr>
                <w:rFonts w:eastAsia="Times New Roman"/>
                <w:b/>
                <w:lang w:val="sv-SE"/>
              </w:rPr>
            </w:pPr>
            <w:r w:rsidRPr="00EF683B">
              <w:rPr>
                <w:rFonts w:eastAsia="Times New Roman"/>
                <w:b/>
                <w:lang w:val="sv-SE"/>
              </w:rPr>
              <w:t>Jan Sjölin</w:t>
            </w:r>
            <w:r w:rsidRPr="00EF683B">
              <w:rPr>
                <w:rFonts w:eastAsia="Times New Roman"/>
                <w:b/>
                <w:lang w:val="sv-SE"/>
              </w:rPr>
              <w:br/>
              <w:t>Gunilla Runnquist</w:t>
            </w:r>
          </w:p>
        </w:tc>
        <w:tc>
          <w:tcPr>
            <w:tcW w:w="2472" w:type="dxa"/>
            <w:tcBorders>
              <w:top w:val="single" w:sz="4" w:space="0" w:color="auto"/>
              <w:bottom w:val="nil"/>
            </w:tcBorders>
            <w:shd w:val="clear" w:color="auto" w:fill="FBD4B4" w:themeFill="accent6" w:themeFillTint="66"/>
          </w:tcPr>
          <w:p w:rsidR="008A180B" w:rsidRPr="00EF683B" w:rsidRDefault="008A180B" w:rsidP="008A180B">
            <w:pPr>
              <w:pStyle w:val="Tabellinnehllvnster"/>
              <w:rPr>
                <w:rFonts w:eastAsia="Times New Roman"/>
                <w:b/>
                <w:lang w:val="sv-SE"/>
              </w:rPr>
            </w:pPr>
            <w:r w:rsidRPr="00EF683B">
              <w:rPr>
                <w:rFonts w:eastAsia="Times New Roman"/>
                <w:b/>
                <w:lang w:val="sv-SE"/>
              </w:rPr>
              <w:t>Kabinpersonal vid nio flygbolag</w:t>
            </w:r>
          </w:p>
        </w:tc>
        <w:tc>
          <w:tcPr>
            <w:tcW w:w="1281" w:type="dxa"/>
            <w:tcBorders>
              <w:top w:val="single" w:sz="4" w:space="0" w:color="auto"/>
              <w:bottom w:val="nil"/>
            </w:tcBorders>
            <w:shd w:val="clear" w:color="auto" w:fill="FBD4B4" w:themeFill="accent6" w:themeFillTint="66"/>
          </w:tcPr>
          <w:p w:rsidR="008A180B" w:rsidRPr="00EF683B" w:rsidRDefault="008A180B" w:rsidP="008A180B">
            <w:pPr>
              <w:pStyle w:val="Tabellinnehllvnster"/>
              <w:rPr>
                <w:rFonts w:eastAsia="Times New Roman"/>
                <w:b/>
                <w:lang w:val="sv-SE"/>
              </w:rPr>
            </w:pPr>
            <w:r>
              <w:rPr>
                <w:rFonts w:eastAsia="Times New Roman"/>
                <w:b/>
                <w:lang w:val="sv-SE"/>
              </w:rPr>
              <w:t>(N</w:t>
            </w:r>
            <w:r w:rsidRPr="00EF683B">
              <w:rPr>
                <w:rFonts w:eastAsia="Times New Roman"/>
                <w:b/>
                <w:lang w:val="sv-SE"/>
              </w:rPr>
              <w:t>ej)</w:t>
            </w:r>
            <w:r>
              <w:rPr>
                <w:rFonts w:eastAsia="Times New Roman"/>
                <w:b/>
                <w:vertAlign w:val="superscript"/>
                <w:lang w:val="sv-SE"/>
              </w:rPr>
              <w:t>2</w:t>
            </w:r>
            <w:r>
              <w:rPr>
                <w:rFonts w:eastAsia="Times New Roman"/>
                <w:b/>
                <w:lang w:val="sv-SE"/>
              </w:rPr>
              <w:br/>
              <w:t>J</w:t>
            </w:r>
            <w:r w:rsidRPr="00EF683B">
              <w:rPr>
                <w:rFonts w:eastAsia="Times New Roman"/>
                <w:b/>
                <w:lang w:val="sv-SE"/>
              </w:rPr>
              <w:t>a</w:t>
            </w:r>
          </w:p>
        </w:tc>
        <w:tc>
          <w:tcPr>
            <w:tcW w:w="1547" w:type="dxa"/>
            <w:tcBorders>
              <w:top w:val="single" w:sz="4" w:space="0" w:color="auto"/>
              <w:bottom w:val="nil"/>
            </w:tcBorders>
            <w:shd w:val="clear" w:color="auto" w:fill="FBD4B4" w:themeFill="accent6" w:themeFillTint="66"/>
          </w:tcPr>
          <w:p w:rsidR="008A180B" w:rsidRPr="00EF683B" w:rsidRDefault="008A180B" w:rsidP="008A180B">
            <w:pPr>
              <w:pStyle w:val="Tabellinnehllvnster"/>
              <w:rPr>
                <w:rFonts w:eastAsia="Times New Roman"/>
                <w:b/>
                <w:lang w:val="sv-SE"/>
              </w:rPr>
            </w:pPr>
            <w:r>
              <w:rPr>
                <w:rFonts w:eastAsia="Times New Roman"/>
                <w:b/>
                <w:lang w:val="sv-SE"/>
              </w:rPr>
              <w:t>Ja</w:t>
            </w:r>
          </w:p>
        </w:tc>
        <w:tc>
          <w:tcPr>
            <w:tcW w:w="1355" w:type="dxa"/>
            <w:tcBorders>
              <w:top w:val="single" w:sz="4" w:space="0" w:color="auto"/>
              <w:bottom w:val="nil"/>
            </w:tcBorders>
            <w:shd w:val="clear" w:color="auto" w:fill="FBD4B4" w:themeFill="accent6" w:themeFillTint="66"/>
          </w:tcPr>
          <w:p w:rsidR="008A180B" w:rsidRPr="00EF683B" w:rsidRDefault="008A180B" w:rsidP="008A180B">
            <w:pPr>
              <w:pStyle w:val="Tabellinnehllvnster"/>
              <w:rPr>
                <w:rFonts w:eastAsia="Times New Roman"/>
                <w:b/>
                <w:lang w:val="sv-SE"/>
              </w:rPr>
            </w:pPr>
            <w:r w:rsidRPr="00EF683B">
              <w:rPr>
                <w:rFonts w:eastAsia="Times New Roman"/>
                <w:b/>
                <w:lang w:val="sv-SE"/>
              </w:rPr>
              <w:t>14 febr</w:t>
            </w:r>
            <w:r>
              <w:rPr>
                <w:rFonts w:eastAsia="Times New Roman"/>
                <w:b/>
                <w:lang w:val="sv-SE"/>
              </w:rPr>
              <w:t>uari</w:t>
            </w:r>
            <w:r w:rsidRPr="00EF683B">
              <w:rPr>
                <w:rFonts w:eastAsia="Times New Roman"/>
                <w:b/>
                <w:lang w:val="sv-SE"/>
              </w:rPr>
              <w:t>–17 och 18 febr</w:t>
            </w:r>
            <w:r>
              <w:rPr>
                <w:rFonts w:eastAsia="Times New Roman"/>
                <w:b/>
                <w:lang w:val="sv-SE"/>
              </w:rPr>
              <w:t>uari</w:t>
            </w:r>
          </w:p>
        </w:tc>
        <w:tc>
          <w:tcPr>
            <w:tcW w:w="1843" w:type="dxa"/>
            <w:tcBorders>
              <w:top w:val="single" w:sz="4" w:space="0" w:color="auto"/>
              <w:bottom w:val="nil"/>
            </w:tcBorders>
            <w:shd w:val="clear" w:color="auto" w:fill="FBD4B4" w:themeFill="accent6" w:themeFillTint="66"/>
          </w:tcPr>
          <w:p w:rsidR="008A180B" w:rsidRPr="00EF683B" w:rsidRDefault="008A180B" w:rsidP="008A180B">
            <w:pPr>
              <w:pStyle w:val="Tabellinnehllvnster"/>
              <w:rPr>
                <w:rFonts w:eastAsia="Times New Roman"/>
                <w:b/>
                <w:lang w:val="sv-SE"/>
              </w:rPr>
            </w:pPr>
            <w:r w:rsidRPr="00EF683B">
              <w:rPr>
                <w:rFonts w:eastAsia="Times New Roman"/>
                <w:b/>
                <w:lang w:val="sv-SE"/>
              </w:rPr>
              <w:t>ca 2 000</w:t>
            </w:r>
          </w:p>
        </w:tc>
        <w:tc>
          <w:tcPr>
            <w:tcW w:w="1275" w:type="dxa"/>
            <w:tcBorders>
              <w:top w:val="single" w:sz="4" w:space="0" w:color="auto"/>
              <w:bottom w:val="nil"/>
            </w:tcBorders>
            <w:shd w:val="clear" w:color="auto" w:fill="FBD4B4" w:themeFill="accent6" w:themeFillTint="66"/>
          </w:tcPr>
          <w:p w:rsidR="008A180B" w:rsidRPr="00EF683B" w:rsidRDefault="008A180B" w:rsidP="008A180B">
            <w:pPr>
              <w:pStyle w:val="Tabellinnehllvnster"/>
              <w:rPr>
                <w:rFonts w:eastAsia="Times New Roman"/>
                <w:b/>
                <w:lang w:val="sv-SE"/>
              </w:rPr>
            </w:pPr>
            <w:r w:rsidRPr="00EF683B">
              <w:rPr>
                <w:rFonts w:eastAsia="Times New Roman"/>
                <w:b/>
                <w:lang w:val="sv-SE"/>
              </w:rPr>
              <w:t>17 febr</w:t>
            </w:r>
            <w:r>
              <w:rPr>
                <w:rFonts w:eastAsia="Times New Roman"/>
                <w:b/>
                <w:lang w:val="sv-SE"/>
              </w:rPr>
              <w:t>uari</w:t>
            </w:r>
            <w:r w:rsidRPr="00EF683B">
              <w:rPr>
                <w:rFonts w:eastAsia="Times New Roman"/>
                <w:b/>
                <w:lang w:val="sv-SE"/>
              </w:rPr>
              <w:t>–</w:t>
            </w:r>
          </w:p>
          <w:p w:rsidR="008A180B" w:rsidRPr="00EF683B" w:rsidRDefault="008A180B" w:rsidP="008A180B">
            <w:pPr>
              <w:pStyle w:val="Tabellinnehllvnster"/>
              <w:rPr>
                <w:rFonts w:eastAsia="Times New Roman"/>
                <w:b/>
                <w:lang w:val="sv-SE"/>
              </w:rPr>
            </w:pPr>
            <w:r w:rsidRPr="00EF683B">
              <w:rPr>
                <w:rFonts w:eastAsia="Times New Roman"/>
                <w:b/>
                <w:lang w:val="sv-SE"/>
              </w:rPr>
              <w:t>23 apr</w:t>
            </w:r>
            <w:r>
              <w:rPr>
                <w:rFonts w:eastAsia="Times New Roman"/>
                <w:b/>
                <w:lang w:val="sv-SE"/>
              </w:rPr>
              <w:t>il</w:t>
            </w:r>
            <w:r>
              <w:rPr>
                <w:rFonts w:eastAsia="Times New Roman"/>
                <w:b/>
                <w:vertAlign w:val="superscript"/>
                <w:lang w:val="sv-SE"/>
              </w:rPr>
              <w:t>3</w:t>
            </w:r>
            <w:r w:rsidRPr="00EF683B">
              <w:rPr>
                <w:rFonts w:eastAsia="Times New Roman"/>
                <w:b/>
                <w:lang w:val="sv-SE"/>
              </w:rPr>
              <w:br/>
            </w:r>
          </w:p>
        </w:tc>
      </w:tr>
      <w:tr w:rsidR="008A180B" w:rsidRPr="00EF683B" w:rsidTr="008A180B">
        <w:tc>
          <w:tcPr>
            <w:tcW w:w="3312" w:type="dxa"/>
            <w:tcBorders>
              <w:top w:val="nil"/>
              <w:left w:val="single" w:sz="4" w:space="0" w:color="auto"/>
              <w:bottom w:val="nil"/>
            </w:tcBorders>
            <w:shd w:val="clear" w:color="auto" w:fill="auto"/>
          </w:tcPr>
          <w:p w:rsidR="008A180B" w:rsidRPr="00EF683B" w:rsidRDefault="008A180B" w:rsidP="008A180B">
            <w:pPr>
              <w:pStyle w:val="Tabellinnehllvnster"/>
              <w:rPr>
                <w:rFonts w:eastAsia="Times New Roman"/>
                <w:b/>
                <w:lang w:val="sv-SE"/>
              </w:rPr>
            </w:pPr>
            <w:r w:rsidRPr="00EF683B">
              <w:rPr>
                <w:rFonts w:eastAsia="Times New Roman"/>
                <w:b/>
                <w:lang w:val="sv-SE"/>
              </w:rPr>
              <w:t>2. Försäkringsbranschens Arbetsgivareorganisation (FAO) ./. FTF – Facket för försäkring och finans</w:t>
            </w:r>
            <w:r w:rsidRPr="00EF683B">
              <w:rPr>
                <w:rFonts w:eastAsia="Times New Roman"/>
                <w:b/>
                <w:lang w:val="sv-SE"/>
              </w:rPr>
              <w:br/>
            </w:r>
          </w:p>
        </w:tc>
        <w:tc>
          <w:tcPr>
            <w:tcW w:w="2260" w:type="dxa"/>
            <w:tcBorders>
              <w:top w:val="nil"/>
              <w:bottom w:val="nil"/>
            </w:tcBorders>
            <w:shd w:val="clear" w:color="auto" w:fill="auto"/>
          </w:tcPr>
          <w:p w:rsidR="008A180B" w:rsidRPr="00EF683B" w:rsidRDefault="008A180B" w:rsidP="008A180B">
            <w:pPr>
              <w:pStyle w:val="Tabellinnehllvnster"/>
              <w:rPr>
                <w:rFonts w:eastAsia="Times New Roman"/>
                <w:b/>
                <w:lang w:val="sv-SE"/>
              </w:rPr>
            </w:pPr>
            <w:r w:rsidRPr="00EF683B">
              <w:rPr>
                <w:rFonts w:eastAsia="Times New Roman"/>
                <w:b/>
                <w:lang w:val="sv-SE"/>
              </w:rPr>
              <w:t xml:space="preserve">Förhandlingsordningsavtal, </w:t>
            </w:r>
            <w:r w:rsidRPr="00EF683B">
              <w:rPr>
                <w:rFonts w:eastAsia="Times New Roman"/>
                <w:b/>
                <w:lang w:val="sv-SE"/>
              </w:rPr>
              <w:br/>
              <w:t>ej MI:s medlare</w:t>
            </w:r>
            <w:r w:rsidRPr="00EF683B">
              <w:rPr>
                <w:rFonts w:eastAsia="Times New Roman"/>
                <w:b/>
                <w:lang w:val="sv-SE"/>
              </w:rPr>
              <w:br/>
              <w:t>(Bengt KÅ Johansson,</w:t>
            </w:r>
            <w:r w:rsidRPr="00EF683B">
              <w:rPr>
                <w:rFonts w:eastAsia="Times New Roman"/>
                <w:b/>
                <w:lang w:val="sv-SE"/>
              </w:rPr>
              <w:br/>
              <w:t>Christina Nygårdh)</w:t>
            </w:r>
          </w:p>
        </w:tc>
        <w:tc>
          <w:tcPr>
            <w:tcW w:w="2472" w:type="dxa"/>
            <w:tcBorders>
              <w:top w:val="nil"/>
              <w:bottom w:val="nil"/>
            </w:tcBorders>
            <w:shd w:val="clear" w:color="auto" w:fill="auto"/>
          </w:tcPr>
          <w:p w:rsidR="008A180B" w:rsidRPr="00EF683B" w:rsidRDefault="008A180B" w:rsidP="008A180B">
            <w:pPr>
              <w:pStyle w:val="Tabellinnehllvnster"/>
              <w:rPr>
                <w:rFonts w:eastAsia="Times New Roman"/>
                <w:b/>
                <w:lang w:val="sv-SE"/>
              </w:rPr>
            </w:pPr>
            <w:r w:rsidRPr="00EF683B">
              <w:rPr>
                <w:rFonts w:eastAsia="Times New Roman"/>
                <w:b/>
                <w:lang w:val="sv-SE"/>
              </w:rPr>
              <w:t>Tjänstemän i försäkringsbranschen</w:t>
            </w:r>
          </w:p>
        </w:tc>
        <w:tc>
          <w:tcPr>
            <w:tcW w:w="1281" w:type="dxa"/>
            <w:tcBorders>
              <w:top w:val="nil"/>
              <w:bottom w:val="nil"/>
            </w:tcBorders>
            <w:shd w:val="clear" w:color="auto" w:fill="auto"/>
          </w:tcPr>
          <w:p w:rsidR="008A180B" w:rsidRPr="00EF683B" w:rsidRDefault="008A180B" w:rsidP="008A180B">
            <w:pPr>
              <w:pStyle w:val="Tabellinnehllvnster"/>
              <w:rPr>
                <w:rFonts w:eastAsia="Times New Roman"/>
                <w:b/>
                <w:lang w:val="sv-SE"/>
              </w:rPr>
            </w:pPr>
            <w:r>
              <w:rPr>
                <w:rFonts w:eastAsia="Times New Roman"/>
                <w:b/>
                <w:lang w:val="sv-SE"/>
              </w:rPr>
              <w:t>J</w:t>
            </w:r>
            <w:r w:rsidRPr="00EF683B">
              <w:rPr>
                <w:rFonts w:eastAsia="Times New Roman"/>
                <w:b/>
                <w:lang w:val="sv-SE"/>
              </w:rPr>
              <w:t>a</w:t>
            </w:r>
          </w:p>
        </w:tc>
        <w:tc>
          <w:tcPr>
            <w:tcW w:w="1547" w:type="dxa"/>
            <w:tcBorders>
              <w:top w:val="nil"/>
              <w:bottom w:val="nil"/>
            </w:tcBorders>
          </w:tcPr>
          <w:p w:rsidR="008A180B" w:rsidRPr="00EF683B" w:rsidRDefault="008A180B" w:rsidP="008A180B">
            <w:pPr>
              <w:pStyle w:val="Tabellinnehllvnster"/>
              <w:rPr>
                <w:rFonts w:eastAsia="Times New Roman"/>
                <w:b/>
                <w:lang w:val="sv-SE"/>
              </w:rPr>
            </w:pPr>
            <w:r>
              <w:rPr>
                <w:rFonts w:eastAsia="Times New Roman"/>
                <w:b/>
                <w:lang w:val="sv-SE"/>
              </w:rPr>
              <w:t>-</w:t>
            </w:r>
          </w:p>
        </w:tc>
        <w:tc>
          <w:tcPr>
            <w:tcW w:w="1355" w:type="dxa"/>
            <w:tcBorders>
              <w:top w:val="nil"/>
              <w:bottom w:val="nil"/>
            </w:tcBorders>
            <w:shd w:val="clear" w:color="auto" w:fill="auto"/>
          </w:tcPr>
          <w:p w:rsidR="008A180B" w:rsidRPr="00EF683B" w:rsidRDefault="008A180B" w:rsidP="008A180B">
            <w:pPr>
              <w:pStyle w:val="Tabellinnehllvnster"/>
              <w:rPr>
                <w:rFonts w:eastAsia="Times New Roman"/>
                <w:b/>
                <w:lang w:val="sv-SE"/>
              </w:rPr>
            </w:pPr>
            <w:r w:rsidRPr="00EF683B">
              <w:rPr>
                <w:rFonts w:eastAsia="Times New Roman"/>
                <w:b/>
                <w:lang w:val="sv-SE"/>
              </w:rPr>
              <w:t>-</w:t>
            </w:r>
          </w:p>
        </w:tc>
        <w:tc>
          <w:tcPr>
            <w:tcW w:w="1843" w:type="dxa"/>
            <w:tcBorders>
              <w:top w:val="nil"/>
              <w:bottom w:val="nil"/>
            </w:tcBorders>
            <w:shd w:val="clear" w:color="auto" w:fill="auto"/>
          </w:tcPr>
          <w:p w:rsidR="008A180B" w:rsidRPr="00EF683B" w:rsidRDefault="008A180B" w:rsidP="008A180B">
            <w:pPr>
              <w:pStyle w:val="Tabellinnehllvnster"/>
              <w:rPr>
                <w:rFonts w:eastAsia="Times New Roman"/>
                <w:b/>
                <w:lang w:val="sv-SE"/>
              </w:rPr>
            </w:pPr>
            <w:r w:rsidRPr="00EF683B">
              <w:rPr>
                <w:rFonts w:eastAsia="Times New Roman"/>
                <w:b/>
                <w:lang w:val="sv-SE"/>
              </w:rPr>
              <w:t>-</w:t>
            </w:r>
          </w:p>
        </w:tc>
        <w:tc>
          <w:tcPr>
            <w:tcW w:w="1275" w:type="dxa"/>
            <w:tcBorders>
              <w:top w:val="nil"/>
              <w:bottom w:val="nil"/>
            </w:tcBorders>
            <w:shd w:val="clear" w:color="auto" w:fill="auto"/>
          </w:tcPr>
          <w:p w:rsidR="008A180B" w:rsidRPr="00EF683B" w:rsidRDefault="008A180B" w:rsidP="008A180B">
            <w:pPr>
              <w:pStyle w:val="Tabellinnehllvnster"/>
              <w:rPr>
                <w:rFonts w:eastAsia="Times New Roman"/>
                <w:b/>
                <w:lang w:val="sv-SE"/>
              </w:rPr>
            </w:pPr>
            <w:r w:rsidRPr="00EF683B">
              <w:rPr>
                <w:rFonts w:eastAsia="Times New Roman"/>
                <w:b/>
                <w:lang w:val="sv-SE"/>
              </w:rPr>
              <w:t>3 febr</w:t>
            </w:r>
            <w:r>
              <w:rPr>
                <w:rFonts w:eastAsia="Times New Roman"/>
                <w:b/>
                <w:lang w:val="sv-SE"/>
              </w:rPr>
              <w:t>uari</w:t>
            </w:r>
          </w:p>
        </w:tc>
      </w:tr>
      <w:tr w:rsidR="008A180B" w:rsidRPr="00EF683B" w:rsidTr="008A180B">
        <w:tc>
          <w:tcPr>
            <w:tcW w:w="3312" w:type="dxa"/>
            <w:tcBorders>
              <w:top w:val="nil"/>
              <w:left w:val="single" w:sz="4" w:space="0" w:color="auto"/>
              <w:bottom w:val="nil"/>
            </w:tcBorders>
            <w:shd w:val="clear" w:color="auto" w:fill="FBD4B4" w:themeFill="accent6" w:themeFillTint="66"/>
          </w:tcPr>
          <w:p w:rsidR="008A180B" w:rsidRPr="00EF683B" w:rsidRDefault="008A180B" w:rsidP="008A180B">
            <w:pPr>
              <w:pStyle w:val="Tabellinnehllvnster"/>
              <w:rPr>
                <w:rFonts w:eastAsia="Times New Roman"/>
                <w:b/>
                <w:lang w:val="sv-SE"/>
              </w:rPr>
            </w:pPr>
            <w:r w:rsidRPr="00EF683B">
              <w:rPr>
                <w:rFonts w:eastAsia="Times New Roman"/>
                <w:b/>
                <w:lang w:val="sv-SE"/>
              </w:rPr>
              <w:t>3. Almega Tjänsteförbunden ./.</w:t>
            </w:r>
            <w:r w:rsidRPr="00EF683B">
              <w:rPr>
                <w:rFonts w:eastAsia="Times New Roman"/>
                <w:b/>
                <w:lang w:val="sv-SE"/>
              </w:rPr>
              <w:br/>
              <w:t>GS Facket för skogs-, trä- och grafisk bransch</w:t>
            </w:r>
          </w:p>
        </w:tc>
        <w:tc>
          <w:tcPr>
            <w:tcW w:w="2260" w:type="dxa"/>
            <w:tcBorders>
              <w:top w:val="nil"/>
              <w:bottom w:val="nil"/>
            </w:tcBorders>
            <w:shd w:val="clear" w:color="auto" w:fill="FBD4B4" w:themeFill="accent6" w:themeFillTint="66"/>
          </w:tcPr>
          <w:p w:rsidR="008A180B" w:rsidRPr="00EF683B" w:rsidRDefault="008A180B" w:rsidP="008A180B">
            <w:pPr>
              <w:pStyle w:val="Tabellinnehllvnster"/>
              <w:rPr>
                <w:rFonts w:eastAsia="Times New Roman"/>
                <w:b/>
                <w:lang w:val="sv-SE"/>
              </w:rPr>
            </w:pPr>
            <w:r w:rsidRPr="00EF683B">
              <w:rPr>
                <w:rFonts w:eastAsia="Times New Roman"/>
                <w:b/>
                <w:lang w:val="sv-SE"/>
              </w:rPr>
              <w:t>Karl-Olof Stenqvist</w:t>
            </w:r>
            <w:r w:rsidRPr="00EF683B">
              <w:rPr>
                <w:rFonts w:eastAsia="Times New Roman"/>
                <w:b/>
                <w:lang w:val="sv-SE"/>
              </w:rPr>
              <w:br/>
              <w:t>Erland Olauson</w:t>
            </w:r>
          </w:p>
        </w:tc>
        <w:tc>
          <w:tcPr>
            <w:tcW w:w="2472" w:type="dxa"/>
            <w:tcBorders>
              <w:top w:val="nil"/>
              <w:bottom w:val="nil"/>
            </w:tcBorders>
            <w:shd w:val="clear" w:color="auto" w:fill="FBD4B4" w:themeFill="accent6" w:themeFillTint="66"/>
          </w:tcPr>
          <w:p w:rsidR="008A180B" w:rsidRPr="00EF683B" w:rsidRDefault="008A180B" w:rsidP="008A180B">
            <w:pPr>
              <w:pStyle w:val="Tabellinnehllvnster"/>
              <w:rPr>
                <w:rFonts w:eastAsia="Times New Roman"/>
                <w:b/>
                <w:lang w:val="sv-SE"/>
              </w:rPr>
            </w:pPr>
            <w:r w:rsidRPr="00EF683B">
              <w:rPr>
                <w:rFonts w:eastAsia="Times New Roman"/>
                <w:b/>
                <w:lang w:val="sv-SE"/>
              </w:rPr>
              <w:t>Strålforsbolagen</w:t>
            </w:r>
          </w:p>
        </w:tc>
        <w:tc>
          <w:tcPr>
            <w:tcW w:w="1281" w:type="dxa"/>
            <w:tcBorders>
              <w:top w:val="nil"/>
              <w:bottom w:val="nil"/>
            </w:tcBorders>
            <w:shd w:val="clear" w:color="auto" w:fill="FBD4B4" w:themeFill="accent6" w:themeFillTint="66"/>
          </w:tcPr>
          <w:p w:rsidR="008A180B" w:rsidRPr="00EF683B" w:rsidRDefault="008A180B" w:rsidP="008A180B">
            <w:pPr>
              <w:pStyle w:val="Tabellinnehllvnster"/>
              <w:rPr>
                <w:rFonts w:eastAsia="Times New Roman"/>
                <w:b/>
                <w:lang w:val="sv-SE"/>
              </w:rPr>
            </w:pPr>
            <w:r>
              <w:rPr>
                <w:rFonts w:eastAsia="Times New Roman"/>
                <w:b/>
                <w:lang w:val="sv-SE"/>
              </w:rPr>
              <w:t>J</w:t>
            </w:r>
            <w:r w:rsidRPr="00EF683B">
              <w:rPr>
                <w:rFonts w:eastAsia="Times New Roman"/>
                <w:b/>
                <w:lang w:val="sv-SE"/>
              </w:rPr>
              <w:t>a</w:t>
            </w:r>
          </w:p>
        </w:tc>
        <w:tc>
          <w:tcPr>
            <w:tcW w:w="1547" w:type="dxa"/>
            <w:tcBorders>
              <w:top w:val="nil"/>
              <w:bottom w:val="nil"/>
            </w:tcBorders>
            <w:shd w:val="clear" w:color="auto" w:fill="FBD4B4" w:themeFill="accent6" w:themeFillTint="66"/>
          </w:tcPr>
          <w:p w:rsidR="008A180B" w:rsidRPr="00EF683B" w:rsidRDefault="008A180B" w:rsidP="008A180B">
            <w:pPr>
              <w:pStyle w:val="Tabellinnehllvnster"/>
              <w:rPr>
                <w:rFonts w:eastAsia="Times New Roman"/>
                <w:b/>
                <w:lang w:val="sv-SE"/>
              </w:rPr>
            </w:pPr>
            <w:r>
              <w:rPr>
                <w:rFonts w:eastAsia="Times New Roman"/>
                <w:b/>
                <w:lang w:val="sv-SE"/>
              </w:rPr>
              <w:t>-</w:t>
            </w:r>
          </w:p>
        </w:tc>
        <w:tc>
          <w:tcPr>
            <w:tcW w:w="1355" w:type="dxa"/>
            <w:tcBorders>
              <w:top w:val="nil"/>
              <w:bottom w:val="nil"/>
            </w:tcBorders>
            <w:shd w:val="clear" w:color="auto" w:fill="FBD4B4" w:themeFill="accent6" w:themeFillTint="66"/>
          </w:tcPr>
          <w:p w:rsidR="008A180B" w:rsidRPr="00EF683B" w:rsidRDefault="008A180B" w:rsidP="008A180B">
            <w:pPr>
              <w:pStyle w:val="Tabellinnehllvnster"/>
              <w:rPr>
                <w:rFonts w:eastAsia="Times New Roman"/>
                <w:b/>
                <w:lang w:val="sv-SE"/>
              </w:rPr>
            </w:pPr>
            <w:r w:rsidRPr="00EF683B">
              <w:rPr>
                <w:rFonts w:eastAsia="Times New Roman"/>
                <w:b/>
                <w:lang w:val="sv-SE"/>
              </w:rPr>
              <w:t>-</w:t>
            </w:r>
          </w:p>
        </w:tc>
        <w:tc>
          <w:tcPr>
            <w:tcW w:w="1843" w:type="dxa"/>
            <w:tcBorders>
              <w:top w:val="nil"/>
              <w:bottom w:val="nil"/>
            </w:tcBorders>
            <w:shd w:val="clear" w:color="auto" w:fill="FBD4B4" w:themeFill="accent6" w:themeFillTint="66"/>
          </w:tcPr>
          <w:p w:rsidR="008A180B" w:rsidRPr="00EF683B" w:rsidRDefault="008A180B" w:rsidP="008A180B">
            <w:pPr>
              <w:pStyle w:val="Tabellinnehllvnster"/>
              <w:rPr>
                <w:rFonts w:eastAsia="Times New Roman"/>
                <w:b/>
                <w:lang w:val="sv-SE"/>
              </w:rPr>
            </w:pPr>
            <w:r w:rsidRPr="00EF683B">
              <w:rPr>
                <w:rFonts w:eastAsia="Times New Roman"/>
                <w:b/>
                <w:lang w:val="sv-SE"/>
              </w:rPr>
              <w:t>-</w:t>
            </w:r>
          </w:p>
        </w:tc>
        <w:tc>
          <w:tcPr>
            <w:tcW w:w="1275" w:type="dxa"/>
            <w:tcBorders>
              <w:top w:val="nil"/>
              <w:bottom w:val="nil"/>
            </w:tcBorders>
            <w:shd w:val="clear" w:color="auto" w:fill="FBD4B4" w:themeFill="accent6" w:themeFillTint="66"/>
          </w:tcPr>
          <w:p w:rsidR="008A180B" w:rsidRPr="00EF683B" w:rsidRDefault="008A180B" w:rsidP="008A180B">
            <w:pPr>
              <w:pStyle w:val="Tabellinnehllvnster"/>
              <w:rPr>
                <w:rFonts w:eastAsia="Times New Roman"/>
                <w:b/>
                <w:lang w:val="sv-SE"/>
              </w:rPr>
            </w:pPr>
            <w:r w:rsidRPr="00EF683B">
              <w:rPr>
                <w:rFonts w:eastAsia="Times New Roman"/>
                <w:b/>
                <w:lang w:val="sv-SE"/>
              </w:rPr>
              <w:t>5 febr</w:t>
            </w:r>
            <w:r>
              <w:rPr>
                <w:rFonts w:eastAsia="Times New Roman"/>
                <w:b/>
                <w:lang w:val="sv-SE"/>
              </w:rPr>
              <w:t>ruari</w:t>
            </w:r>
          </w:p>
        </w:tc>
      </w:tr>
      <w:tr w:rsidR="008A180B" w:rsidRPr="00EF683B" w:rsidTr="008A180B">
        <w:tc>
          <w:tcPr>
            <w:tcW w:w="3312" w:type="dxa"/>
            <w:tcBorders>
              <w:top w:val="nil"/>
              <w:left w:val="single" w:sz="4" w:space="0" w:color="auto"/>
              <w:bottom w:val="nil"/>
            </w:tcBorders>
            <w:shd w:val="clear" w:color="auto" w:fill="auto"/>
          </w:tcPr>
          <w:p w:rsidR="008A180B" w:rsidRPr="00EF683B" w:rsidRDefault="008A180B" w:rsidP="008A180B">
            <w:pPr>
              <w:pStyle w:val="Tabellinnehllvnster"/>
              <w:rPr>
                <w:rFonts w:eastAsia="Times New Roman"/>
                <w:b/>
                <w:lang w:val="sv-SE"/>
              </w:rPr>
            </w:pPr>
            <w:r w:rsidRPr="00EF683B">
              <w:rPr>
                <w:rFonts w:eastAsia="Times New Roman"/>
                <w:b/>
                <w:lang w:val="sv-SE"/>
              </w:rPr>
              <w:t>4. Sveriges Byggindustrier ./.</w:t>
            </w:r>
            <w:r w:rsidRPr="00EF683B">
              <w:rPr>
                <w:rFonts w:eastAsia="Times New Roman"/>
                <w:b/>
                <w:lang w:val="sv-SE"/>
              </w:rPr>
              <w:br/>
              <w:t>Svenska Byggnadsarbetareförbundet</w:t>
            </w:r>
          </w:p>
          <w:p w:rsidR="008A180B" w:rsidRPr="00EF683B" w:rsidRDefault="008A180B" w:rsidP="008A180B">
            <w:pPr>
              <w:pStyle w:val="Tabellinnehllvnster"/>
              <w:rPr>
                <w:rFonts w:eastAsia="Times New Roman"/>
                <w:b/>
                <w:lang w:val="sv-SE"/>
              </w:rPr>
            </w:pPr>
          </w:p>
        </w:tc>
        <w:tc>
          <w:tcPr>
            <w:tcW w:w="2260" w:type="dxa"/>
            <w:tcBorders>
              <w:top w:val="nil"/>
              <w:bottom w:val="nil"/>
            </w:tcBorders>
            <w:shd w:val="clear" w:color="auto" w:fill="auto"/>
          </w:tcPr>
          <w:p w:rsidR="008A180B" w:rsidRPr="00EF683B" w:rsidRDefault="008A180B" w:rsidP="008A180B">
            <w:pPr>
              <w:pStyle w:val="Tabellinnehllvnster"/>
              <w:rPr>
                <w:rFonts w:eastAsia="Times New Roman"/>
                <w:b/>
                <w:lang w:val="sv-SE"/>
              </w:rPr>
            </w:pPr>
            <w:r w:rsidRPr="00EF683B">
              <w:rPr>
                <w:rFonts w:eastAsia="Times New Roman"/>
                <w:b/>
                <w:lang w:val="sv-SE"/>
              </w:rPr>
              <w:t>Bengt KÅ Johansson</w:t>
            </w:r>
            <w:r w:rsidRPr="00EF683B">
              <w:rPr>
                <w:rFonts w:eastAsia="Times New Roman"/>
                <w:b/>
                <w:lang w:val="sv-SE"/>
              </w:rPr>
              <w:br/>
              <w:t>Malte Eriksson</w:t>
            </w:r>
            <w:r w:rsidRPr="00EF683B">
              <w:rPr>
                <w:rFonts w:eastAsia="Times New Roman"/>
                <w:b/>
                <w:lang w:val="sv-SE"/>
              </w:rPr>
              <w:br/>
              <w:t>Lars Josefsson</w:t>
            </w:r>
          </w:p>
        </w:tc>
        <w:tc>
          <w:tcPr>
            <w:tcW w:w="2472" w:type="dxa"/>
            <w:tcBorders>
              <w:top w:val="nil"/>
              <w:bottom w:val="nil"/>
            </w:tcBorders>
            <w:shd w:val="clear" w:color="auto" w:fill="auto"/>
          </w:tcPr>
          <w:p w:rsidR="008A180B" w:rsidRPr="00EF683B" w:rsidRDefault="008A180B" w:rsidP="008A180B">
            <w:pPr>
              <w:pStyle w:val="Tabellinnehllvnster"/>
              <w:rPr>
                <w:rFonts w:eastAsia="Times New Roman"/>
                <w:b/>
                <w:lang w:val="sv-SE"/>
              </w:rPr>
            </w:pPr>
            <w:r w:rsidRPr="00EF683B">
              <w:rPr>
                <w:rFonts w:eastAsia="Times New Roman"/>
                <w:b/>
                <w:lang w:val="sv-SE"/>
              </w:rPr>
              <w:t>Byggavtalet</w:t>
            </w:r>
          </w:p>
        </w:tc>
        <w:tc>
          <w:tcPr>
            <w:tcW w:w="1281" w:type="dxa"/>
            <w:tcBorders>
              <w:top w:val="nil"/>
              <w:bottom w:val="nil"/>
            </w:tcBorders>
            <w:shd w:val="clear" w:color="auto" w:fill="auto"/>
          </w:tcPr>
          <w:p w:rsidR="008A180B" w:rsidRPr="00EF683B" w:rsidRDefault="008A180B" w:rsidP="008A180B">
            <w:pPr>
              <w:pStyle w:val="Tabellinnehllvnster"/>
              <w:rPr>
                <w:rFonts w:eastAsia="Times New Roman"/>
                <w:b/>
                <w:lang w:val="sv-SE"/>
              </w:rPr>
            </w:pPr>
            <w:r w:rsidRPr="00EF683B">
              <w:rPr>
                <w:rFonts w:eastAsia="Times New Roman"/>
                <w:b/>
                <w:lang w:val="sv-SE"/>
              </w:rPr>
              <w:t>(nej)</w:t>
            </w:r>
            <w:r>
              <w:rPr>
                <w:rFonts w:eastAsia="Times New Roman"/>
                <w:b/>
                <w:vertAlign w:val="superscript"/>
                <w:lang w:val="sv-SE"/>
              </w:rPr>
              <w:t>2</w:t>
            </w:r>
            <w:r>
              <w:rPr>
                <w:rFonts w:eastAsia="Times New Roman"/>
                <w:b/>
                <w:lang w:val="sv-SE"/>
              </w:rPr>
              <w:br/>
              <w:t>J</w:t>
            </w:r>
            <w:r w:rsidRPr="00EF683B">
              <w:rPr>
                <w:rFonts w:eastAsia="Times New Roman"/>
                <w:b/>
                <w:lang w:val="sv-SE"/>
              </w:rPr>
              <w:t>a</w:t>
            </w:r>
          </w:p>
        </w:tc>
        <w:tc>
          <w:tcPr>
            <w:tcW w:w="1547" w:type="dxa"/>
            <w:tcBorders>
              <w:top w:val="nil"/>
              <w:bottom w:val="nil"/>
            </w:tcBorders>
          </w:tcPr>
          <w:p w:rsidR="008A180B" w:rsidRPr="00EF683B" w:rsidRDefault="008A180B" w:rsidP="008A180B">
            <w:pPr>
              <w:pStyle w:val="Tabellinnehllvnster"/>
              <w:rPr>
                <w:rFonts w:eastAsia="Times New Roman"/>
                <w:b/>
                <w:lang w:val="sv-SE"/>
              </w:rPr>
            </w:pPr>
            <w:r>
              <w:rPr>
                <w:rFonts w:eastAsia="Times New Roman"/>
                <w:b/>
                <w:lang w:val="sv-SE"/>
              </w:rPr>
              <w:t>-</w:t>
            </w:r>
          </w:p>
        </w:tc>
        <w:tc>
          <w:tcPr>
            <w:tcW w:w="1355" w:type="dxa"/>
            <w:tcBorders>
              <w:top w:val="nil"/>
              <w:bottom w:val="nil"/>
            </w:tcBorders>
            <w:shd w:val="clear" w:color="auto" w:fill="auto"/>
          </w:tcPr>
          <w:p w:rsidR="008A180B" w:rsidRPr="00EF683B" w:rsidRDefault="008A180B" w:rsidP="008A180B">
            <w:pPr>
              <w:pStyle w:val="Tabellinnehllvnster"/>
              <w:rPr>
                <w:rFonts w:eastAsia="Times New Roman"/>
                <w:b/>
                <w:lang w:val="sv-SE"/>
              </w:rPr>
            </w:pPr>
            <w:r w:rsidRPr="00EF683B">
              <w:rPr>
                <w:rFonts w:eastAsia="Times New Roman"/>
                <w:b/>
                <w:lang w:val="sv-SE"/>
              </w:rPr>
              <w:t>-</w:t>
            </w:r>
          </w:p>
        </w:tc>
        <w:tc>
          <w:tcPr>
            <w:tcW w:w="1843" w:type="dxa"/>
            <w:tcBorders>
              <w:top w:val="nil"/>
              <w:bottom w:val="nil"/>
            </w:tcBorders>
            <w:shd w:val="clear" w:color="auto" w:fill="auto"/>
          </w:tcPr>
          <w:p w:rsidR="008A180B" w:rsidRPr="00EF683B" w:rsidRDefault="008A180B" w:rsidP="008A180B">
            <w:pPr>
              <w:pStyle w:val="Tabellinnehllvnster"/>
              <w:rPr>
                <w:rFonts w:eastAsia="Times New Roman"/>
                <w:b/>
                <w:lang w:val="sv-SE"/>
              </w:rPr>
            </w:pPr>
            <w:r w:rsidRPr="00EF683B">
              <w:rPr>
                <w:rFonts w:eastAsia="Times New Roman"/>
                <w:b/>
                <w:lang w:val="sv-SE"/>
              </w:rPr>
              <w:t>-</w:t>
            </w:r>
          </w:p>
        </w:tc>
        <w:tc>
          <w:tcPr>
            <w:tcW w:w="1275" w:type="dxa"/>
            <w:tcBorders>
              <w:top w:val="nil"/>
              <w:bottom w:val="nil"/>
            </w:tcBorders>
            <w:shd w:val="clear" w:color="auto" w:fill="auto"/>
          </w:tcPr>
          <w:p w:rsidR="008A180B" w:rsidRPr="00EF683B" w:rsidRDefault="008A180B" w:rsidP="008A180B">
            <w:pPr>
              <w:pStyle w:val="Tabellinnehllvnster"/>
              <w:rPr>
                <w:rFonts w:eastAsia="Times New Roman"/>
                <w:b/>
                <w:lang w:val="sv-SE"/>
              </w:rPr>
            </w:pPr>
            <w:r w:rsidRPr="00EF683B">
              <w:rPr>
                <w:rFonts w:eastAsia="Times New Roman"/>
                <w:b/>
                <w:lang w:val="sv-SE"/>
              </w:rPr>
              <w:t>5 mars</w:t>
            </w:r>
          </w:p>
        </w:tc>
      </w:tr>
      <w:tr w:rsidR="008A180B" w:rsidRPr="00EF683B" w:rsidTr="008A180B">
        <w:tc>
          <w:tcPr>
            <w:tcW w:w="3312" w:type="dxa"/>
            <w:tcBorders>
              <w:top w:val="nil"/>
              <w:left w:val="single" w:sz="4" w:space="0" w:color="auto"/>
              <w:bottom w:val="nil"/>
            </w:tcBorders>
            <w:shd w:val="clear" w:color="auto" w:fill="FBD4B4" w:themeFill="accent6" w:themeFillTint="66"/>
          </w:tcPr>
          <w:p w:rsidR="008A180B" w:rsidRPr="00EF683B" w:rsidRDefault="008A180B" w:rsidP="008A180B">
            <w:pPr>
              <w:pStyle w:val="Tabellinnehllvnster"/>
              <w:rPr>
                <w:rFonts w:eastAsia="Times New Roman"/>
                <w:b/>
                <w:lang w:val="sv-SE"/>
              </w:rPr>
            </w:pPr>
            <w:r w:rsidRPr="00EF683B">
              <w:rPr>
                <w:rFonts w:eastAsia="Times New Roman"/>
                <w:b/>
                <w:lang w:val="sv-SE"/>
              </w:rPr>
              <w:t>5. Svensk Scenkonst ./. Unionen</w:t>
            </w:r>
          </w:p>
          <w:p w:rsidR="008A180B" w:rsidRPr="00EF683B" w:rsidRDefault="008A180B" w:rsidP="008A180B">
            <w:pPr>
              <w:pStyle w:val="Tabellinnehllvnster"/>
              <w:rPr>
                <w:rFonts w:eastAsia="Times New Roman"/>
                <w:b/>
                <w:lang w:val="sv-SE"/>
              </w:rPr>
            </w:pPr>
          </w:p>
        </w:tc>
        <w:tc>
          <w:tcPr>
            <w:tcW w:w="2260" w:type="dxa"/>
            <w:tcBorders>
              <w:top w:val="nil"/>
              <w:bottom w:val="nil"/>
            </w:tcBorders>
            <w:shd w:val="clear" w:color="auto" w:fill="FBD4B4" w:themeFill="accent6" w:themeFillTint="66"/>
          </w:tcPr>
          <w:p w:rsidR="008A180B" w:rsidRPr="00EF683B" w:rsidRDefault="008A180B" w:rsidP="008A180B">
            <w:pPr>
              <w:pStyle w:val="Tabellinnehllvnster"/>
              <w:rPr>
                <w:rFonts w:eastAsia="Times New Roman"/>
                <w:b/>
                <w:lang w:val="sv-SE"/>
              </w:rPr>
            </w:pPr>
            <w:r w:rsidRPr="00EF683B">
              <w:rPr>
                <w:rFonts w:eastAsia="Times New Roman"/>
                <w:b/>
                <w:lang w:val="sv-SE"/>
              </w:rPr>
              <w:t>Anders Forsberg</w:t>
            </w:r>
            <w:r w:rsidRPr="00EF683B">
              <w:rPr>
                <w:rFonts w:eastAsia="Times New Roman"/>
                <w:b/>
                <w:lang w:val="sv-SE"/>
              </w:rPr>
              <w:br/>
              <w:t>Inger Örtendahl</w:t>
            </w:r>
          </w:p>
        </w:tc>
        <w:tc>
          <w:tcPr>
            <w:tcW w:w="2472" w:type="dxa"/>
            <w:tcBorders>
              <w:top w:val="nil"/>
              <w:bottom w:val="nil"/>
            </w:tcBorders>
            <w:shd w:val="clear" w:color="auto" w:fill="FBD4B4" w:themeFill="accent6" w:themeFillTint="66"/>
          </w:tcPr>
          <w:p w:rsidR="008A180B" w:rsidRPr="00EF683B" w:rsidRDefault="008A180B" w:rsidP="008A180B">
            <w:pPr>
              <w:pStyle w:val="Tabellinnehllvnster"/>
              <w:rPr>
                <w:rFonts w:eastAsia="Times New Roman"/>
                <w:b/>
                <w:lang w:val="sv-SE"/>
              </w:rPr>
            </w:pPr>
            <w:r w:rsidRPr="00EF683B">
              <w:rPr>
                <w:rFonts w:eastAsia="Times New Roman"/>
                <w:b/>
                <w:lang w:val="sv-SE"/>
              </w:rPr>
              <w:t xml:space="preserve">Tjänstemän inom orkersterområdet och </w:t>
            </w:r>
            <w:r w:rsidRPr="00EF683B">
              <w:rPr>
                <w:rFonts w:eastAsia="Times New Roman"/>
                <w:b/>
                <w:lang w:val="sv-SE"/>
              </w:rPr>
              <w:br/>
              <w:t>för vissa ideella föreningar</w:t>
            </w:r>
          </w:p>
        </w:tc>
        <w:tc>
          <w:tcPr>
            <w:tcW w:w="1281" w:type="dxa"/>
            <w:tcBorders>
              <w:top w:val="nil"/>
              <w:bottom w:val="nil"/>
            </w:tcBorders>
            <w:shd w:val="clear" w:color="auto" w:fill="FBD4B4" w:themeFill="accent6" w:themeFillTint="66"/>
          </w:tcPr>
          <w:p w:rsidR="008A180B" w:rsidRPr="00EF683B" w:rsidRDefault="008A180B" w:rsidP="008A180B">
            <w:pPr>
              <w:pStyle w:val="Tabellinnehllvnster"/>
              <w:rPr>
                <w:rFonts w:eastAsia="Times New Roman"/>
                <w:b/>
                <w:lang w:val="sv-SE"/>
              </w:rPr>
            </w:pPr>
            <w:r w:rsidRPr="00EF683B">
              <w:rPr>
                <w:rFonts w:eastAsia="Times New Roman"/>
                <w:b/>
                <w:lang w:val="sv-SE"/>
              </w:rPr>
              <w:t>Nej</w:t>
            </w:r>
          </w:p>
        </w:tc>
        <w:tc>
          <w:tcPr>
            <w:tcW w:w="1547" w:type="dxa"/>
            <w:tcBorders>
              <w:top w:val="nil"/>
              <w:bottom w:val="nil"/>
            </w:tcBorders>
            <w:shd w:val="clear" w:color="auto" w:fill="FBD4B4" w:themeFill="accent6" w:themeFillTint="66"/>
          </w:tcPr>
          <w:p w:rsidR="008A180B" w:rsidRPr="00EF683B" w:rsidRDefault="008A180B" w:rsidP="008A180B">
            <w:pPr>
              <w:pStyle w:val="Tabellinnehllvnster"/>
              <w:rPr>
                <w:rFonts w:eastAsia="Times New Roman"/>
                <w:b/>
                <w:lang w:val="sv-SE"/>
              </w:rPr>
            </w:pPr>
            <w:r>
              <w:rPr>
                <w:rFonts w:eastAsia="Times New Roman"/>
                <w:b/>
                <w:lang w:val="sv-SE"/>
              </w:rPr>
              <w:t>-</w:t>
            </w:r>
          </w:p>
        </w:tc>
        <w:tc>
          <w:tcPr>
            <w:tcW w:w="1355" w:type="dxa"/>
            <w:tcBorders>
              <w:top w:val="nil"/>
              <w:bottom w:val="nil"/>
            </w:tcBorders>
            <w:shd w:val="clear" w:color="auto" w:fill="FBD4B4" w:themeFill="accent6" w:themeFillTint="66"/>
          </w:tcPr>
          <w:p w:rsidR="008A180B" w:rsidRPr="00EF683B" w:rsidRDefault="008A180B" w:rsidP="008A180B">
            <w:pPr>
              <w:pStyle w:val="Tabellinnehllvnster"/>
              <w:rPr>
                <w:rFonts w:eastAsia="Times New Roman"/>
                <w:b/>
                <w:lang w:val="sv-SE"/>
              </w:rPr>
            </w:pPr>
            <w:r w:rsidRPr="00EF683B">
              <w:rPr>
                <w:rFonts w:eastAsia="Times New Roman"/>
                <w:b/>
                <w:lang w:val="sv-SE"/>
              </w:rPr>
              <w:t>-</w:t>
            </w:r>
          </w:p>
        </w:tc>
        <w:tc>
          <w:tcPr>
            <w:tcW w:w="1843" w:type="dxa"/>
            <w:tcBorders>
              <w:top w:val="nil"/>
              <w:bottom w:val="nil"/>
            </w:tcBorders>
            <w:shd w:val="clear" w:color="auto" w:fill="FBD4B4" w:themeFill="accent6" w:themeFillTint="66"/>
          </w:tcPr>
          <w:p w:rsidR="008A180B" w:rsidRPr="00EF683B" w:rsidRDefault="008A180B" w:rsidP="008A180B">
            <w:pPr>
              <w:pStyle w:val="Tabellinnehllvnster"/>
              <w:rPr>
                <w:rFonts w:eastAsia="Times New Roman"/>
                <w:b/>
                <w:lang w:val="sv-SE"/>
              </w:rPr>
            </w:pPr>
            <w:r w:rsidRPr="00EF683B">
              <w:rPr>
                <w:rFonts w:eastAsia="Times New Roman"/>
                <w:b/>
                <w:lang w:val="sv-SE"/>
              </w:rPr>
              <w:t>-</w:t>
            </w:r>
          </w:p>
        </w:tc>
        <w:tc>
          <w:tcPr>
            <w:tcW w:w="1275" w:type="dxa"/>
            <w:tcBorders>
              <w:top w:val="nil"/>
              <w:bottom w:val="nil"/>
            </w:tcBorders>
            <w:shd w:val="clear" w:color="auto" w:fill="FBD4B4" w:themeFill="accent6" w:themeFillTint="66"/>
          </w:tcPr>
          <w:p w:rsidR="008A180B" w:rsidRPr="00EF683B" w:rsidRDefault="008A180B" w:rsidP="008A180B">
            <w:pPr>
              <w:pStyle w:val="Tabellinnehllvnster"/>
              <w:rPr>
                <w:rFonts w:eastAsia="Times New Roman"/>
                <w:b/>
                <w:lang w:val="sv-SE"/>
              </w:rPr>
            </w:pPr>
            <w:r w:rsidRPr="00EF683B">
              <w:rPr>
                <w:rFonts w:eastAsia="Times New Roman"/>
                <w:b/>
                <w:lang w:val="sv-SE"/>
              </w:rPr>
              <w:t>15 mars</w:t>
            </w:r>
          </w:p>
        </w:tc>
      </w:tr>
      <w:tr w:rsidR="008A180B" w:rsidRPr="00EF683B" w:rsidTr="008A180B">
        <w:tc>
          <w:tcPr>
            <w:tcW w:w="3312" w:type="dxa"/>
            <w:tcBorders>
              <w:top w:val="nil"/>
              <w:left w:val="single" w:sz="4" w:space="0" w:color="auto"/>
              <w:bottom w:val="nil"/>
            </w:tcBorders>
            <w:shd w:val="clear" w:color="auto" w:fill="auto"/>
          </w:tcPr>
          <w:p w:rsidR="008A180B" w:rsidRDefault="008A180B" w:rsidP="008A180B">
            <w:pPr>
              <w:pStyle w:val="Tabellinnehllvnster"/>
              <w:rPr>
                <w:rFonts w:eastAsia="Times New Roman"/>
                <w:b/>
                <w:lang w:val="sv-SE"/>
              </w:rPr>
            </w:pPr>
            <w:r>
              <w:rPr>
                <w:rFonts w:eastAsia="Times New Roman"/>
                <w:b/>
                <w:lang w:val="sv-SE"/>
              </w:rPr>
              <w:t>6. Svensk Handel ./.</w:t>
            </w:r>
          </w:p>
          <w:p w:rsidR="008A180B" w:rsidRPr="00EF683B" w:rsidRDefault="008A180B" w:rsidP="008A180B">
            <w:pPr>
              <w:pStyle w:val="Tabellinnehllvnster"/>
              <w:rPr>
                <w:rFonts w:eastAsia="Times New Roman"/>
                <w:b/>
                <w:lang w:val="sv-SE"/>
              </w:rPr>
            </w:pPr>
            <w:r w:rsidRPr="00EF683B">
              <w:rPr>
                <w:rFonts w:eastAsia="Times New Roman"/>
                <w:b/>
                <w:lang w:val="sv-SE"/>
              </w:rPr>
              <w:t>Handelsanställdas förbund</w:t>
            </w:r>
          </w:p>
          <w:p w:rsidR="008A180B" w:rsidRPr="00EF683B" w:rsidRDefault="008A180B" w:rsidP="008A180B">
            <w:pPr>
              <w:pStyle w:val="Tabellinnehllvnster"/>
              <w:rPr>
                <w:rFonts w:eastAsia="Times New Roman"/>
                <w:b/>
                <w:lang w:val="sv-SE"/>
              </w:rPr>
            </w:pPr>
          </w:p>
        </w:tc>
        <w:tc>
          <w:tcPr>
            <w:tcW w:w="2260" w:type="dxa"/>
            <w:tcBorders>
              <w:top w:val="nil"/>
              <w:bottom w:val="nil"/>
            </w:tcBorders>
            <w:shd w:val="clear" w:color="auto" w:fill="auto"/>
          </w:tcPr>
          <w:p w:rsidR="008A180B" w:rsidRPr="00EF683B" w:rsidRDefault="008A180B" w:rsidP="008A180B">
            <w:pPr>
              <w:pStyle w:val="Tabellinnehllvnster"/>
              <w:rPr>
                <w:rFonts w:eastAsia="Times New Roman"/>
                <w:b/>
                <w:lang w:val="sv-SE"/>
              </w:rPr>
            </w:pPr>
            <w:r w:rsidRPr="00EF683B">
              <w:rPr>
                <w:rFonts w:eastAsia="Times New Roman"/>
                <w:b/>
                <w:lang w:val="sv-SE"/>
              </w:rPr>
              <w:t>Bengt KÅ Johansson</w:t>
            </w:r>
            <w:r w:rsidRPr="00EF683B">
              <w:rPr>
                <w:rFonts w:eastAsia="Times New Roman"/>
                <w:b/>
                <w:lang w:val="sv-SE"/>
              </w:rPr>
              <w:br/>
              <w:t>Christina Rogestam</w:t>
            </w:r>
            <w:r w:rsidRPr="00EF683B">
              <w:rPr>
                <w:rFonts w:eastAsia="Times New Roman"/>
                <w:b/>
                <w:lang w:val="sv-SE"/>
              </w:rPr>
              <w:br/>
              <w:t>Jan Sjölin</w:t>
            </w:r>
          </w:p>
        </w:tc>
        <w:tc>
          <w:tcPr>
            <w:tcW w:w="2472" w:type="dxa"/>
            <w:tcBorders>
              <w:top w:val="nil"/>
              <w:bottom w:val="nil"/>
            </w:tcBorders>
            <w:shd w:val="clear" w:color="auto" w:fill="auto"/>
          </w:tcPr>
          <w:p w:rsidR="008A180B" w:rsidRPr="00EF683B" w:rsidRDefault="008A180B" w:rsidP="008A180B">
            <w:pPr>
              <w:pStyle w:val="Tabellinnehllvnster"/>
              <w:rPr>
                <w:rFonts w:eastAsia="Times New Roman"/>
                <w:b/>
                <w:lang w:val="sv-SE"/>
              </w:rPr>
            </w:pPr>
            <w:r w:rsidRPr="00EF683B">
              <w:rPr>
                <w:rFonts w:eastAsia="Times New Roman"/>
                <w:b/>
                <w:lang w:val="sv-SE"/>
              </w:rPr>
              <w:t>Detaljhandel och partihandel</w:t>
            </w:r>
          </w:p>
        </w:tc>
        <w:tc>
          <w:tcPr>
            <w:tcW w:w="1281" w:type="dxa"/>
            <w:tcBorders>
              <w:top w:val="nil"/>
              <w:bottom w:val="nil"/>
            </w:tcBorders>
            <w:shd w:val="clear" w:color="auto" w:fill="auto"/>
          </w:tcPr>
          <w:p w:rsidR="008A180B" w:rsidRPr="00EF683B" w:rsidRDefault="008A180B" w:rsidP="008A180B">
            <w:pPr>
              <w:pStyle w:val="Tabellinnehllvnster"/>
              <w:rPr>
                <w:rFonts w:eastAsia="Times New Roman"/>
                <w:b/>
                <w:lang w:val="sv-SE"/>
              </w:rPr>
            </w:pPr>
            <w:r w:rsidRPr="00EF683B">
              <w:rPr>
                <w:rFonts w:eastAsia="Times New Roman"/>
                <w:b/>
                <w:lang w:val="sv-SE"/>
              </w:rPr>
              <w:t>Ja</w:t>
            </w:r>
          </w:p>
        </w:tc>
        <w:tc>
          <w:tcPr>
            <w:tcW w:w="1547" w:type="dxa"/>
            <w:tcBorders>
              <w:top w:val="nil"/>
              <w:bottom w:val="nil"/>
            </w:tcBorders>
          </w:tcPr>
          <w:p w:rsidR="008A180B" w:rsidRPr="00EF683B" w:rsidRDefault="008A180B" w:rsidP="008A180B">
            <w:pPr>
              <w:pStyle w:val="Tabellinnehllvnster"/>
              <w:rPr>
                <w:rFonts w:eastAsia="Times New Roman"/>
                <w:b/>
                <w:lang w:val="sv-SE"/>
              </w:rPr>
            </w:pPr>
            <w:r>
              <w:rPr>
                <w:rFonts w:eastAsia="Times New Roman"/>
                <w:b/>
                <w:lang w:val="sv-SE"/>
              </w:rPr>
              <w:t>Ja</w:t>
            </w:r>
          </w:p>
        </w:tc>
        <w:tc>
          <w:tcPr>
            <w:tcW w:w="1355" w:type="dxa"/>
            <w:tcBorders>
              <w:top w:val="nil"/>
              <w:bottom w:val="nil"/>
            </w:tcBorders>
            <w:shd w:val="clear" w:color="auto" w:fill="auto"/>
          </w:tcPr>
          <w:p w:rsidR="008A180B" w:rsidRPr="00EF683B" w:rsidRDefault="008A180B" w:rsidP="008A180B">
            <w:pPr>
              <w:pStyle w:val="Tabellinnehllvnster"/>
              <w:rPr>
                <w:rFonts w:eastAsia="Times New Roman"/>
                <w:b/>
                <w:lang w:val="sv-SE"/>
              </w:rPr>
            </w:pPr>
            <w:r w:rsidRPr="00EF683B">
              <w:rPr>
                <w:rFonts w:eastAsia="Times New Roman"/>
                <w:b/>
                <w:lang w:val="sv-SE"/>
              </w:rPr>
              <w:t>-</w:t>
            </w:r>
          </w:p>
        </w:tc>
        <w:tc>
          <w:tcPr>
            <w:tcW w:w="1843" w:type="dxa"/>
            <w:tcBorders>
              <w:top w:val="nil"/>
              <w:bottom w:val="nil"/>
            </w:tcBorders>
            <w:shd w:val="clear" w:color="auto" w:fill="auto"/>
          </w:tcPr>
          <w:p w:rsidR="008A180B" w:rsidRPr="00EF683B" w:rsidRDefault="008A180B" w:rsidP="008A180B">
            <w:pPr>
              <w:pStyle w:val="Tabellinnehllvnster"/>
              <w:rPr>
                <w:rFonts w:eastAsia="Times New Roman"/>
                <w:b/>
                <w:lang w:val="sv-SE"/>
              </w:rPr>
            </w:pPr>
            <w:r w:rsidRPr="00EF683B">
              <w:rPr>
                <w:rFonts w:eastAsia="Times New Roman"/>
                <w:b/>
                <w:lang w:val="sv-SE"/>
              </w:rPr>
              <w:t>-</w:t>
            </w:r>
          </w:p>
        </w:tc>
        <w:tc>
          <w:tcPr>
            <w:tcW w:w="1275" w:type="dxa"/>
            <w:tcBorders>
              <w:top w:val="nil"/>
              <w:bottom w:val="nil"/>
            </w:tcBorders>
            <w:shd w:val="clear" w:color="auto" w:fill="auto"/>
          </w:tcPr>
          <w:p w:rsidR="008A180B" w:rsidRPr="00EF683B" w:rsidRDefault="008A180B" w:rsidP="008A180B">
            <w:pPr>
              <w:pStyle w:val="Tabellinnehllvnster"/>
              <w:rPr>
                <w:rFonts w:eastAsia="Times New Roman"/>
                <w:b/>
                <w:lang w:val="sv-SE"/>
              </w:rPr>
            </w:pPr>
            <w:r w:rsidRPr="00EF683B">
              <w:rPr>
                <w:rFonts w:eastAsia="Times New Roman"/>
                <w:b/>
                <w:lang w:val="sv-SE"/>
              </w:rPr>
              <w:t>12 april</w:t>
            </w:r>
          </w:p>
        </w:tc>
      </w:tr>
      <w:tr w:rsidR="008A180B" w:rsidRPr="00EF683B" w:rsidTr="008A180B">
        <w:tc>
          <w:tcPr>
            <w:tcW w:w="3312" w:type="dxa"/>
            <w:tcBorders>
              <w:top w:val="nil"/>
              <w:left w:val="single" w:sz="4" w:space="0" w:color="auto"/>
              <w:bottom w:val="nil"/>
            </w:tcBorders>
            <w:shd w:val="clear" w:color="auto" w:fill="FBD4B4" w:themeFill="accent6" w:themeFillTint="66"/>
          </w:tcPr>
          <w:p w:rsidR="008A180B" w:rsidRPr="00EF683B" w:rsidRDefault="008A180B" w:rsidP="008A180B">
            <w:pPr>
              <w:pStyle w:val="Tabellinnehllvnster"/>
              <w:rPr>
                <w:rFonts w:eastAsia="Times New Roman"/>
                <w:b/>
                <w:lang w:val="sv-SE"/>
              </w:rPr>
            </w:pPr>
            <w:r w:rsidRPr="00EF683B">
              <w:rPr>
                <w:rFonts w:eastAsia="Times New Roman"/>
                <w:b/>
                <w:lang w:val="sv-SE"/>
              </w:rPr>
              <w:t>7. Skogs- och Lantarbetsgivareförbundet (SLA) ./. Svenska Kommunalarbetareförbundet</w:t>
            </w:r>
            <w:r w:rsidRPr="00EF683B">
              <w:rPr>
                <w:rFonts w:eastAsia="Times New Roman"/>
                <w:b/>
                <w:lang w:val="sv-SE"/>
              </w:rPr>
              <w:br/>
            </w:r>
          </w:p>
        </w:tc>
        <w:tc>
          <w:tcPr>
            <w:tcW w:w="2260" w:type="dxa"/>
            <w:tcBorders>
              <w:top w:val="nil"/>
              <w:bottom w:val="nil"/>
            </w:tcBorders>
            <w:shd w:val="clear" w:color="auto" w:fill="FBD4B4" w:themeFill="accent6" w:themeFillTint="66"/>
          </w:tcPr>
          <w:p w:rsidR="008A180B" w:rsidRPr="00EF683B" w:rsidRDefault="008A180B" w:rsidP="008A180B">
            <w:pPr>
              <w:pStyle w:val="Tabellinnehllvnster"/>
              <w:rPr>
                <w:rFonts w:eastAsia="Times New Roman"/>
                <w:b/>
                <w:lang w:val="sv-SE"/>
              </w:rPr>
            </w:pPr>
            <w:r w:rsidRPr="00EF683B">
              <w:rPr>
                <w:rFonts w:eastAsia="Times New Roman"/>
                <w:b/>
                <w:lang w:val="sv-SE"/>
              </w:rPr>
              <w:t>Förhandlingsordnings</w:t>
            </w:r>
            <w:r w:rsidRPr="00EF683B">
              <w:rPr>
                <w:rFonts w:eastAsia="Times New Roman"/>
                <w:b/>
                <w:lang w:val="sv-SE"/>
              </w:rPr>
              <w:softHyphen/>
              <w:t xml:space="preserve">avtal, </w:t>
            </w:r>
            <w:r w:rsidRPr="00EF683B">
              <w:rPr>
                <w:rFonts w:eastAsia="Times New Roman"/>
                <w:b/>
                <w:lang w:val="sv-SE"/>
              </w:rPr>
              <w:br/>
              <w:t>ej MI:s medlare</w:t>
            </w:r>
            <w:r w:rsidRPr="00EF683B">
              <w:rPr>
                <w:rFonts w:eastAsia="Times New Roman"/>
                <w:b/>
                <w:lang w:val="sv-SE"/>
              </w:rPr>
              <w:br/>
              <w:t xml:space="preserve">(Gunnar Samuelsson, </w:t>
            </w:r>
            <w:r w:rsidRPr="00EF683B">
              <w:rPr>
                <w:rFonts w:eastAsia="Times New Roman"/>
                <w:b/>
                <w:lang w:val="sv-SE"/>
              </w:rPr>
              <w:br/>
              <w:t>Erik Hjerpe)</w:t>
            </w:r>
          </w:p>
        </w:tc>
        <w:tc>
          <w:tcPr>
            <w:tcW w:w="2472" w:type="dxa"/>
            <w:tcBorders>
              <w:top w:val="nil"/>
              <w:bottom w:val="nil"/>
            </w:tcBorders>
            <w:shd w:val="clear" w:color="auto" w:fill="FBD4B4" w:themeFill="accent6" w:themeFillTint="66"/>
          </w:tcPr>
          <w:p w:rsidR="008A180B" w:rsidRPr="00EF683B" w:rsidRDefault="008A180B" w:rsidP="008A180B">
            <w:pPr>
              <w:pStyle w:val="Tabellinnehllvnster"/>
              <w:rPr>
                <w:rFonts w:eastAsia="Times New Roman"/>
                <w:b/>
                <w:lang w:val="sv-SE"/>
              </w:rPr>
            </w:pPr>
            <w:r w:rsidRPr="00EF683B">
              <w:rPr>
                <w:rFonts w:eastAsia="Times New Roman"/>
                <w:b/>
                <w:lang w:val="sv-SE"/>
              </w:rPr>
              <w:t>Golfbanor och trädgårds</w:t>
            </w:r>
            <w:r w:rsidRPr="00EF683B">
              <w:rPr>
                <w:rFonts w:eastAsia="Times New Roman"/>
                <w:b/>
                <w:lang w:val="sv-SE"/>
              </w:rPr>
              <w:softHyphen/>
              <w:t>anläggningsbranschen</w:t>
            </w:r>
          </w:p>
        </w:tc>
        <w:tc>
          <w:tcPr>
            <w:tcW w:w="1281" w:type="dxa"/>
            <w:tcBorders>
              <w:top w:val="nil"/>
              <w:bottom w:val="nil"/>
            </w:tcBorders>
            <w:shd w:val="clear" w:color="auto" w:fill="FBD4B4" w:themeFill="accent6" w:themeFillTint="66"/>
          </w:tcPr>
          <w:p w:rsidR="008A180B" w:rsidRPr="00EF683B" w:rsidRDefault="008A180B" w:rsidP="008A180B">
            <w:pPr>
              <w:pStyle w:val="Tabellinnehllvnster"/>
              <w:rPr>
                <w:rFonts w:eastAsia="Times New Roman"/>
                <w:b/>
                <w:lang w:val="sv-SE"/>
              </w:rPr>
            </w:pPr>
            <w:r w:rsidRPr="00EF683B">
              <w:rPr>
                <w:rFonts w:eastAsia="Times New Roman"/>
                <w:b/>
                <w:lang w:val="sv-SE"/>
              </w:rPr>
              <w:t>Ja</w:t>
            </w:r>
          </w:p>
        </w:tc>
        <w:tc>
          <w:tcPr>
            <w:tcW w:w="1547" w:type="dxa"/>
            <w:tcBorders>
              <w:top w:val="nil"/>
              <w:bottom w:val="nil"/>
            </w:tcBorders>
            <w:shd w:val="clear" w:color="auto" w:fill="FBD4B4" w:themeFill="accent6" w:themeFillTint="66"/>
          </w:tcPr>
          <w:p w:rsidR="008A180B" w:rsidRPr="00EF683B" w:rsidRDefault="008A180B" w:rsidP="008A180B">
            <w:pPr>
              <w:pStyle w:val="Tabellinnehllvnster"/>
              <w:rPr>
                <w:rFonts w:eastAsia="Times New Roman"/>
                <w:b/>
                <w:lang w:val="sv-SE"/>
              </w:rPr>
            </w:pPr>
            <w:r>
              <w:rPr>
                <w:rFonts w:eastAsia="Times New Roman"/>
                <w:b/>
                <w:lang w:val="sv-SE"/>
              </w:rPr>
              <w:t>-</w:t>
            </w:r>
          </w:p>
        </w:tc>
        <w:tc>
          <w:tcPr>
            <w:tcW w:w="1355" w:type="dxa"/>
            <w:tcBorders>
              <w:top w:val="nil"/>
              <w:bottom w:val="nil"/>
            </w:tcBorders>
            <w:shd w:val="clear" w:color="auto" w:fill="FBD4B4" w:themeFill="accent6" w:themeFillTint="66"/>
          </w:tcPr>
          <w:p w:rsidR="008A180B" w:rsidRPr="00EF683B" w:rsidRDefault="008A180B" w:rsidP="008A180B">
            <w:pPr>
              <w:pStyle w:val="Tabellinnehllvnster"/>
              <w:rPr>
                <w:rFonts w:eastAsia="Times New Roman"/>
                <w:b/>
                <w:lang w:val="sv-SE"/>
              </w:rPr>
            </w:pPr>
            <w:r w:rsidRPr="00EF683B">
              <w:rPr>
                <w:rFonts w:eastAsia="Times New Roman"/>
                <w:b/>
                <w:lang w:val="sv-SE"/>
              </w:rPr>
              <w:t>-</w:t>
            </w:r>
          </w:p>
        </w:tc>
        <w:tc>
          <w:tcPr>
            <w:tcW w:w="1843" w:type="dxa"/>
            <w:tcBorders>
              <w:top w:val="nil"/>
              <w:bottom w:val="nil"/>
            </w:tcBorders>
            <w:shd w:val="clear" w:color="auto" w:fill="FBD4B4" w:themeFill="accent6" w:themeFillTint="66"/>
          </w:tcPr>
          <w:p w:rsidR="008A180B" w:rsidRPr="00EF683B" w:rsidRDefault="008A180B" w:rsidP="008A180B">
            <w:pPr>
              <w:pStyle w:val="Tabellinnehllvnster"/>
              <w:rPr>
                <w:rFonts w:eastAsia="Times New Roman"/>
                <w:b/>
                <w:lang w:val="sv-SE"/>
              </w:rPr>
            </w:pPr>
            <w:r w:rsidRPr="00EF683B">
              <w:rPr>
                <w:rFonts w:eastAsia="Times New Roman"/>
                <w:b/>
                <w:lang w:val="sv-SE"/>
              </w:rPr>
              <w:t>-</w:t>
            </w:r>
          </w:p>
        </w:tc>
        <w:tc>
          <w:tcPr>
            <w:tcW w:w="1275" w:type="dxa"/>
            <w:tcBorders>
              <w:top w:val="nil"/>
              <w:bottom w:val="nil"/>
            </w:tcBorders>
            <w:shd w:val="clear" w:color="auto" w:fill="FBD4B4" w:themeFill="accent6" w:themeFillTint="66"/>
          </w:tcPr>
          <w:p w:rsidR="008A180B" w:rsidRPr="00EF683B" w:rsidRDefault="008A180B" w:rsidP="008A180B">
            <w:pPr>
              <w:pStyle w:val="Tabellinnehllvnster"/>
              <w:rPr>
                <w:rFonts w:eastAsia="Times New Roman"/>
                <w:b/>
                <w:lang w:val="sv-SE"/>
              </w:rPr>
            </w:pPr>
            <w:r w:rsidRPr="00EF683B">
              <w:rPr>
                <w:rFonts w:eastAsia="Times New Roman"/>
                <w:b/>
                <w:lang w:val="sv-SE"/>
              </w:rPr>
              <w:t>16 april</w:t>
            </w:r>
          </w:p>
        </w:tc>
      </w:tr>
      <w:tr w:rsidR="008A180B" w:rsidRPr="00EF683B" w:rsidTr="008A180B">
        <w:tc>
          <w:tcPr>
            <w:tcW w:w="3312" w:type="dxa"/>
            <w:tcBorders>
              <w:top w:val="nil"/>
              <w:left w:val="single" w:sz="4" w:space="0" w:color="auto"/>
              <w:bottom w:val="nil"/>
            </w:tcBorders>
            <w:shd w:val="clear" w:color="auto" w:fill="auto"/>
          </w:tcPr>
          <w:p w:rsidR="008A180B" w:rsidRPr="00EF683B" w:rsidRDefault="008A180B" w:rsidP="008A180B">
            <w:pPr>
              <w:pStyle w:val="Tabellinnehllvnster"/>
              <w:rPr>
                <w:rFonts w:eastAsia="Times New Roman"/>
                <w:b/>
                <w:lang w:val="sv-SE"/>
              </w:rPr>
            </w:pPr>
            <w:r w:rsidRPr="00EF683B">
              <w:rPr>
                <w:rFonts w:eastAsia="Times New Roman"/>
                <w:b/>
                <w:lang w:val="sv-SE"/>
              </w:rPr>
              <w:t>8. Idea ./. Unionen, Akademikerförbunden</w:t>
            </w:r>
          </w:p>
        </w:tc>
        <w:tc>
          <w:tcPr>
            <w:tcW w:w="2260" w:type="dxa"/>
            <w:tcBorders>
              <w:top w:val="nil"/>
              <w:bottom w:val="nil"/>
            </w:tcBorders>
            <w:shd w:val="clear" w:color="auto" w:fill="auto"/>
          </w:tcPr>
          <w:p w:rsidR="008A180B" w:rsidRPr="00EF683B" w:rsidRDefault="008A180B" w:rsidP="008A180B">
            <w:pPr>
              <w:pStyle w:val="Tabellinnehllvnster"/>
              <w:rPr>
                <w:rFonts w:eastAsia="Times New Roman"/>
                <w:b/>
                <w:lang w:val="sv-SE"/>
              </w:rPr>
            </w:pPr>
            <w:r w:rsidRPr="00EF683B">
              <w:rPr>
                <w:rFonts w:eastAsia="Times New Roman"/>
                <w:b/>
                <w:lang w:val="sv-SE"/>
              </w:rPr>
              <w:t>Olle Hammarström</w:t>
            </w:r>
            <w:r w:rsidRPr="00EF683B">
              <w:rPr>
                <w:rFonts w:eastAsia="Times New Roman"/>
                <w:b/>
                <w:lang w:val="sv-SE"/>
              </w:rPr>
              <w:br/>
              <w:t>Isa Skoog</w:t>
            </w:r>
          </w:p>
        </w:tc>
        <w:tc>
          <w:tcPr>
            <w:tcW w:w="2472" w:type="dxa"/>
            <w:tcBorders>
              <w:top w:val="nil"/>
              <w:bottom w:val="nil"/>
            </w:tcBorders>
            <w:shd w:val="clear" w:color="auto" w:fill="auto"/>
          </w:tcPr>
          <w:p w:rsidR="008A180B" w:rsidRPr="00EF683B" w:rsidRDefault="008A180B" w:rsidP="008A180B">
            <w:pPr>
              <w:pStyle w:val="Tabellinnehllvnster"/>
              <w:rPr>
                <w:rFonts w:eastAsia="Times New Roman"/>
                <w:b/>
                <w:lang w:val="sv-SE"/>
              </w:rPr>
            </w:pPr>
            <w:r w:rsidRPr="00EF683B">
              <w:rPr>
                <w:rFonts w:eastAsia="Times New Roman"/>
                <w:b/>
                <w:lang w:val="sv-SE"/>
              </w:rPr>
              <w:t>Tjänstemannaavtal</w:t>
            </w:r>
          </w:p>
        </w:tc>
        <w:tc>
          <w:tcPr>
            <w:tcW w:w="1281" w:type="dxa"/>
            <w:tcBorders>
              <w:top w:val="nil"/>
              <w:bottom w:val="nil"/>
            </w:tcBorders>
            <w:shd w:val="clear" w:color="auto" w:fill="auto"/>
          </w:tcPr>
          <w:p w:rsidR="008A180B" w:rsidRPr="00EF683B" w:rsidRDefault="008A180B" w:rsidP="008A180B">
            <w:pPr>
              <w:pStyle w:val="Tabellinnehllvnster"/>
              <w:rPr>
                <w:rFonts w:eastAsia="Times New Roman"/>
                <w:b/>
                <w:lang w:val="sv-SE"/>
              </w:rPr>
            </w:pPr>
            <w:r w:rsidRPr="00EF683B">
              <w:rPr>
                <w:rFonts w:eastAsia="Times New Roman"/>
                <w:b/>
                <w:lang w:val="sv-SE"/>
              </w:rPr>
              <w:t>Nej</w:t>
            </w:r>
          </w:p>
        </w:tc>
        <w:tc>
          <w:tcPr>
            <w:tcW w:w="1547" w:type="dxa"/>
            <w:tcBorders>
              <w:top w:val="nil"/>
              <w:bottom w:val="nil"/>
            </w:tcBorders>
          </w:tcPr>
          <w:p w:rsidR="008A180B" w:rsidRPr="00EF683B" w:rsidRDefault="008A180B" w:rsidP="008A180B">
            <w:pPr>
              <w:pStyle w:val="Tabellinnehllvnster"/>
              <w:rPr>
                <w:rFonts w:eastAsia="Times New Roman"/>
                <w:b/>
                <w:lang w:val="sv-SE"/>
              </w:rPr>
            </w:pPr>
            <w:r>
              <w:rPr>
                <w:rFonts w:eastAsia="Times New Roman"/>
                <w:b/>
                <w:lang w:val="sv-SE"/>
              </w:rPr>
              <w:t>-</w:t>
            </w:r>
          </w:p>
        </w:tc>
        <w:tc>
          <w:tcPr>
            <w:tcW w:w="1355" w:type="dxa"/>
            <w:tcBorders>
              <w:top w:val="nil"/>
              <w:bottom w:val="nil"/>
            </w:tcBorders>
            <w:shd w:val="clear" w:color="auto" w:fill="auto"/>
          </w:tcPr>
          <w:p w:rsidR="008A180B" w:rsidRPr="00EF683B" w:rsidRDefault="008A180B" w:rsidP="008A180B">
            <w:pPr>
              <w:pStyle w:val="Tabellinnehllvnster"/>
              <w:rPr>
                <w:rFonts w:eastAsia="Times New Roman"/>
                <w:b/>
                <w:lang w:val="sv-SE"/>
              </w:rPr>
            </w:pPr>
            <w:r w:rsidRPr="00EF683B">
              <w:rPr>
                <w:rFonts w:eastAsia="Times New Roman"/>
                <w:b/>
                <w:lang w:val="sv-SE"/>
              </w:rPr>
              <w:t>-</w:t>
            </w:r>
          </w:p>
        </w:tc>
        <w:tc>
          <w:tcPr>
            <w:tcW w:w="1843" w:type="dxa"/>
            <w:tcBorders>
              <w:top w:val="nil"/>
              <w:bottom w:val="nil"/>
            </w:tcBorders>
            <w:shd w:val="clear" w:color="auto" w:fill="auto"/>
          </w:tcPr>
          <w:p w:rsidR="008A180B" w:rsidRPr="00EF683B" w:rsidRDefault="008A180B" w:rsidP="008A180B">
            <w:pPr>
              <w:pStyle w:val="Tabellinnehllvnster"/>
              <w:rPr>
                <w:rFonts w:eastAsia="Times New Roman"/>
                <w:b/>
                <w:lang w:val="sv-SE"/>
              </w:rPr>
            </w:pPr>
            <w:r w:rsidRPr="00EF683B">
              <w:rPr>
                <w:rFonts w:eastAsia="Times New Roman"/>
                <w:b/>
                <w:lang w:val="sv-SE"/>
              </w:rPr>
              <w:t>-</w:t>
            </w:r>
          </w:p>
        </w:tc>
        <w:tc>
          <w:tcPr>
            <w:tcW w:w="1275" w:type="dxa"/>
            <w:tcBorders>
              <w:top w:val="nil"/>
              <w:bottom w:val="nil"/>
            </w:tcBorders>
            <w:shd w:val="clear" w:color="auto" w:fill="auto"/>
          </w:tcPr>
          <w:p w:rsidR="008A180B" w:rsidRPr="00EF683B" w:rsidRDefault="008A180B" w:rsidP="008A180B">
            <w:pPr>
              <w:pStyle w:val="Tabellinnehllvnster"/>
              <w:rPr>
                <w:rFonts w:eastAsia="Times New Roman"/>
                <w:b/>
                <w:lang w:val="sv-SE"/>
              </w:rPr>
            </w:pPr>
            <w:r w:rsidRPr="00EF683B">
              <w:rPr>
                <w:rFonts w:eastAsia="Times New Roman"/>
                <w:b/>
                <w:lang w:val="sv-SE"/>
              </w:rPr>
              <w:t>24 maj</w:t>
            </w:r>
          </w:p>
        </w:tc>
      </w:tr>
      <w:tr w:rsidR="008A180B" w:rsidRPr="00EF683B" w:rsidTr="008A180B">
        <w:tc>
          <w:tcPr>
            <w:tcW w:w="3312" w:type="dxa"/>
            <w:tcBorders>
              <w:top w:val="nil"/>
              <w:left w:val="single" w:sz="4" w:space="0" w:color="auto"/>
              <w:bottom w:val="single" w:sz="4" w:space="0" w:color="auto"/>
            </w:tcBorders>
            <w:shd w:val="clear" w:color="auto" w:fill="FBD4B4" w:themeFill="accent6" w:themeFillTint="66"/>
          </w:tcPr>
          <w:p w:rsidR="008A180B" w:rsidRPr="00EF683B" w:rsidRDefault="008A180B" w:rsidP="008A180B">
            <w:pPr>
              <w:pStyle w:val="Tabellinnehllvnster"/>
              <w:rPr>
                <w:rFonts w:eastAsia="Times New Roman"/>
                <w:b/>
                <w:lang w:val="sv-SE"/>
              </w:rPr>
            </w:pPr>
            <w:r w:rsidRPr="00EF683B">
              <w:rPr>
                <w:rFonts w:eastAsia="Times New Roman"/>
                <w:b/>
                <w:lang w:val="sv-SE"/>
              </w:rPr>
              <w:t xml:space="preserve">9. Föreningen Vårdföretagarna ./. </w:t>
            </w:r>
            <w:r w:rsidRPr="00EF683B">
              <w:rPr>
                <w:rFonts w:eastAsia="Times New Roman"/>
                <w:b/>
                <w:lang w:val="sv-SE"/>
              </w:rPr>
              <w:br/>
              <w:t>Svenska Kommunalarbetare</w:t>
            </w:r>
            <w:r w:rsidRPr="00EF683B">
              <w:rPr>
                <w:rFonts w:eastAsia="Times New Roman"/>
                <w:b/>
                <w:lang w:val="sv-SE"/>
              </w:rPr>
              <w:softHyphen/>
              <w:t>förbundet</w:t>
            </w:r>
          </w:p>
        </w:tc>
        <w:tc>
          <w:tcPr>
            <w:tcW w:w="2260" w:type="dxa"/>
            <w:tcBorders>
              <w:top w:val="nil"/>
              <w:bottom w:val="single" w:sz="4" w:space="0" w:color="auto"/>
            </w:tcBorders>
            <w:shd w:val="clear" w:color="auto" w:fill="FBD4B4" w:themeFill="accent6" w:themeFillTint="66"/>
          </w:tcPr>
          <w:p w:rsidR="008A180B" w:rsidRPr="00EF683B" w:rsidRDefault="008A180B" w:rsidP="008A180B">
            <w:pPr>
              <w:pStyle w:val="Tabellinnehllvnster"/>
              <w:rPr>
                <w:rFonts w:eastAsia="Times New Roman"/>
                <w:b/>
                <w:lang w:val="sv-SE"/>
              </w:rPr>
            </w:pPr>
            <w:r w:rsidRPr="00EF683B">
              <w:rPr>
                <w:rFonts w:eastAsia="Times New Roman"/>
                <w:b/>
                <w:lang w:val="sv-SE"/>
              </w:rPr>
              <w:t>Hans Svensson</w:t>
            </w:r>
            <w:r w:rsidRPr="00EF683B">
              <w:rPr>
                <w:rFonts w:eastAsia="Times New Roman"/>
                <w:b/>
                <w:lang w:val="sv-SE"/>
              </w:rPr>
              <w:br/>
              <w:t>Torgny Wännström</w:t>
            </w:r>
          </w:p>
        </w:tc>
        <w:tc>
          <w:tcPr>
            <w:tcW w:w="2472" w:type="dxa"/>
            <w:tcBorders>
              <w:top w:val="nil"/>
              <w:bottom w:val="single" w:sz="4" w:space="0" w:color="auto"/>
            </w:tcBorders>
            <w:shd w:val="clear" w:color="auto" w:fill="FBD4B4" w:themeFill="accent6" w:themeFillTint="66"/>
          </w:tcPr>
          <w:p w:rsidR="008A180B" w:rsidRPr="00EF683B" w:rsidRDefault="008A180B" w:rsidP="008A180B">
            <w:pPr>
              <w:pStyle w:val="Tabellinnehllvnster"/>
              <w:rPr>
                <w:rFonts w:eastAsia="Times New Roman"/>
                <w:b/>
                <w:lang w:val="sv-SE"/>
              </w:rPr>
            </w:pPr>
            <w:r w:rsidRPr="00EF683B">
              <w:rPr>
                <w:rFonts w:eastAsia="Times New Roman"/>
                <w:b/>
                <w:lang w:val="sv-SE"/>
              </w:rPr>
              <w:t>Personlig assistans</w:t>
            </w:r>
          </w:p>
        </w:tc>
        <w:tc>
          <w:tcPr>
            <w:tcW w:w="1281" w:type="dxa"/>
            <w:tcBorders>
              <w:top w:val="nil"/>
              <w:bottom w:val="single" w:sz="4" w:space="0" w:color="auto"/>
            </w:tcBorders>
            <w:shd w:val="clear" w:color="auto" w:fill="FBD4B4" w:themeFill="accent6" w:themeFillTint="66"/>
          </w:tcPr>
          <w:p w:rsidR="008A180B" w:rsidRPr="00EF683B" w:rsidRDefault="008A180B" w:rsidP="008A180B">
            <w:pPr>
              <w:pStyle w:val="Tabellinnehllvnster"/>
              <w:rPr>
                <w:rFonts w:eastAsia="Times New Roman"/>
                <w:b/>
                <w:lang w:val="sv-SE"/>
              </w:rPr>
            </w:pPr>
            <w:r w:rsidRPr="00EF683B">
              <w:rPr>
                <w:rFonts w:eastAsia="Times New Roman"/>
                <w:b/>
                <w:lang w:val="sv-SE"/>
              </w:rPr>
              <w:t>Ja</w:t>
            </w:r>
          </w:p>
        </w:tc>
        <w:tc>
          <w:tcPr>
            <w:tcW w:w="1547" w:type="dxa"/>
            <w:tcBorders>
              <w:top w:val="nil"/>
              <w:bottom w:val="single" w:sz="4" w:space="0" w:color="auto"/>
            </w:tcBorders>
            <w:shd w:val="clear" w:color="auto" w:fill="FBD4B4" w:themeFill="accent6" w:themeFillTint="66"/>
          </w:tcPr>
          <w:p w:rsidR="008A180B" w:rsidRPr="00EF683B" w:rsidRDefault="008A180B" w:rsidP="008A180B">
            <w:pPr>
              <w:pStyle w:val="Tabellinnehllvnster"/>
              <w:rPr>
                <w:rFonts w:eastAsia="Times New Roman"/>
                <w:b/>
                <w:lang w:val="sv-SE"/>
              </w:rPr>
            </w:pPr>
            <w:r>
              <w:rPr>
                <w:rFonts w:eastAsia="Times New Roman"/>
                <w:b/>
                <w:lang w:val="sv-SE"/>
              </w:rPr>
              <w:t>Ja</w:t>
            </w:r>
          </w:p>
        </w:tc>
        <w:tc>
          <w:tcPr>
            <w:tcW w:w="1355" w:type="dxa"/>
            <w:tcBorders>
              <w:top w:val="nil"/>
              <w:bottom w:val="single" w:sz="4" w:space="0" w:color="auto"/>
            </w:tcBorders>
            <w:shd w:val="clear" w:color="auto" w:fill="FBD4B4" w:themeFill="accent6" w:themeFillTint="66"/>
          </w:tcPr>
          <w:p w:rsidR="008A180B" w:rsidRPr="00EF683B" w:rsidRDefault="008A180B" w:rsidP="008A180B">
            <w:pPr>
              <w:pStyle w:val="Tabellinnehllvnster"/>
              <w:rPr>
                <w:rFonts w:eastAsia="Times New Roman"/>
                <w:b/>
                <w:lang w:val="sv-SE"/>
              </w:rPr>
            </w:pPr>
            <w:r w:rsidRPr="00EF683B">
              <w:rPr>
                <w:rFonts w:eastAsia="Times New Roman"/>
                <w:b/>
                <w:lang w:val="sv-SE"/>
              </w:rPr>
              <w:t>20 apr–23 april</w:t>
            </w:r>
          </w:p>
        </w:tc>
        <w:tc>
          <w:tcPr>
            <w:tcW w:w="1843" w:type="dxa"/>
            <w:tcBorders>
              <w:top w:val="nil"/>
              <w:bottom w:val="single" w:sz="4" w:space="0" w:color="auto"/>
            </w:tcBorders>
            <w:shd w:val="clear" w:color="auto" w:fill="FBD4B4" w:themeFill="accent6" w:themeFillTint="66"/>
          </w:tcPr>
          <w:p w:rsidR="008A180B" w:rsidRPr="00EF683B" w:rsidRDefault="008A180B" w:rsidP="008A180B">
            <w:pPr>
              <w:pStyle w:val="Tabellinnehllvnster"/>
              <w:rPr>
                <w:rFonts w:eastAsia="Times New Roman"/>
                <w:b/>
                <w:lang w:val="sv-SE"/>
              </w:rPr>
            </w:pPr>
            <w:r w:rsidRPr="00EF683B">
              <w:rPr>
                <w:rFonts w:eastAsia="Times New Roman"/>
                <w:b/>
                <w:lang w:val="sv-SE"/>
              </w:rPr>
              <w:t>-</w:t>
            </w:r>
          </w:p>
        </w:tc>
        <w:tc>
          <w:tcPr>
            <w:tcW w:w="1275" w:type="dxa"/>
            <w:tcBorders>
              <w:top w:val="nil"/>
              <w:bottom w:val="single" w:sz="4" w:space="0" w:color="auto"/>
            </w:tcBorders>
            <w:shd w:val="clear" w:color="auto" w:fill="FBD4B4" w:themeFill="accent6" w:themeFillTint="66"/>
          </w:tcPr>
          <w:p w:rsidR="008A180B" w:rsidRPr="00EF683B" w:rsidRDefault="008A180B" w:rsidP="008A180B">
            <w:pPr>
              <w:pStyle w:val="Tabellinnehllvnster"/>
              <w:rPr>
                <w:rFonts w:eastAsia="Times New Roman"/>
                <w:b/>
                <w:lang w:val="sv-SE"/>
              </w:rPr>
            </w:pPr>
            <w:r w:rsidRPr="00EF683B">
              <w:rPr>
                <w:rFonts w:eastAsia="Times New Roman"/>
                <w:b/>
                <w:lang w:val="sv-SE"/>
              </w:rPr>
              <w:t>23 april</w:t>
            </w:r>
          </w:p>
        </w:tc>
      </w:tr>
    </w:tbl>
    <w:p w:rsidR="008A180B" w:rsidRPr="00EF683B" w:rsidRDefault="008A180B" w:rsidP="008A180B">
      <w:pPr>
        <w:rPr>
          <w:b/>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0"/>
        <w:gridCol w:w="2406"/>
        <w:gridCol w:w="2265"/>
        <w:gridCol w:w="1417"/>
        <w:gridCol w:w="1558"/>
        <w:gridCol w:w="1416"/>
        <w:gridCol w:w="1838"/>
        <w:gridCol w:w="1151"/>
      </w:tblGrid>
      <w:tr w:rsidR="008A180B" w:rsidRPr="00EF683B" w:rsidTr="008A180B">
        <w:tc>
          <w:tcPr>
            <w:tcW w:w="3400" w:type="dxa"/>
            <w:tcBorders>
              <w:top w:val="single" w:sz="4" w:space="0" w:color="auto"/>
              <w:left w:val="single" w:sz="4" w:space="0" w:color="auto"/>
              <w:bottom w:val="single" w:sz="4" w:space="0" w:color="auto"/>
            </w:tcBorders>
            <w:shd w:val="clear" w:color="auto" w:fill="FFFFFF"/>
          </w:tcPr>
          <w:p w:rsidR="008A180B" w:rsidRPr="00EF683B" w:rsidRDefault="008A180B" w:rsidP="008A180B">
            <w:pPr>
              <w:pStyle w:val="Tabellinnehllvnster"/>
              <w:tabs>
                <w:tab w:val="left" w:pos="459"/>
              </w:tabs>
              <w:ind w:left="459" w:right="578"/>
              <w:rPr>
                <w:rFonts w:eastAsia="Times New Roman"/>
                <w:b/>
                <w:lang w:val="sv-SE"/>
              </w:rPr>
            </w:pPr>
            <w:r w:rsidRPr="00EF683B">
              <w:rPr>
                <w:rFonts w:eastAsia="Times New Roman"/>
                <w:b/>
                <w:lang w:val="sv-SE"/>
              </w:rPr>
              <w:t>Parter</w:t>
            </w:r>
          </w:p>
        </w:tc>
        <w:tc>
          <w:tcPr>
            <w:tcW w:w="2406" w:type="dxa"/>
            <w:tcBorders>
              <w:top w:val="single" w:sz="4" w:space="0" w:color="auto"/>
              <w:bottom w:val="single" w:sz="4" w:space="0" w:color="auto"/>
            </w:tcBorders>
            <w:shd w:val="clear" w:color="auto" w:fill="FFFFFF"/>
          </w:tcPr>
          <w:p w:rsidR="008A180B" w:rsidRPr="00EF683B" w:rsidRDefault="008A180B" w:rsidP="00640867">
            <w:pPr>
              <w:pStyle w:val="Tabellinnehllvnster"/>
              <w:ind w:left="178"/>
              <w:rPr>
                <w:rFonts w:eastAsia="Times New Roman"/>
                <w:b/>
                <w:lang w:val="sv-SE"/>
              </w:rPr>
            </w:pPr>
            <w:r w:rsidRPr="00EF683B">
              <w:rPr>
                <w:rFonts w:eastAsia="Times New Roman"/>
                <w:b/>
                <w:lang w:val="sv-SE"/>
              </w:rPr>
              <w:t>Medlare</w:t>
            </w:r>
          </w:p>
        </w:tc>
        <w:tc>
          <w:tcPr>
            <w:tcW w:w="2265" w:type="dxa"/>
            <w:tcBorders>
              <w:top w:val="single" w:sz="4" w:space="0" w:color="auto"/>
              <w:bottom w:val="single" w:sz="4" w:space="0" w:color="auto"/>
            </w:tcBorders>
            <w:shd w:val="clear" w:color="auto" w:fill="FFFFFF"/>
          </w:tcPr>
          <w:p w:rsidR="008A180B" w:rsidRPr="00EF683B" w:rsidRDefault="008A180B" w:rsidP="008A180B">
            <w:pPr>
              <w:pStyle w:val="Tabellinnehllvnster"/>
              <w:rPr>
                <w:rFonts w:eastAsia="Times New Roman"/>
                <w:b/>
                <w:lang w:val="sv-SE"/>
              </w:rPr>
            </w:pPr>
            <w:r w:rsidRPr="00EF683B">
              <w:rPr>
                <w:rFonts w:eastAsia="Times New Roman"/>
                <w:b/>
                <w:lang w:val="sv-SE"/>
              </w:rPr>
              <w:t>Förbundsavtal</w:t>
            </w:r>
          </w:p>
        </w:tc>
        <w:tc>
          <w:tcPr>
            <w:tcW w:w="1417" w:type="dxa"/>
            <w:tcBorders>
              <w:top w:val="single" w:sz="4" w:space="0" w:color="auto"/>
              <w:bottom w:val="single" w:sz="4" w:space="0" w:color="auto"/>
            </w:tcBorders>
            <w:shd w:val="clear" w:color="auto" w:fill="FFFFFF"/>
          </w:tcPr>
          <w:p w:rsidR="008A180B" w:rsidRPr="006561DB" w:rsidRDefault="008A180B" w:rsidP="008A180B">
            <w:pPr>
              <w:pStyle w:val="Tabellinnehllvnster"/>
              <w:rPr>
                <w:rFonts w:eastAsia="Times New Roman"/>
                <w:b/>
                <w:vertAlign w:val="superscript"/>
                <w:lang w:val="sv-SE"/>
              </w:rPr>
            </w:pPr>
            <w:r w:rsidRPr="00EF683B">
              <w:rPr>
                <w:rFonts w:eastAsia="Times New Roman"/>
                <w:b/>
                <w:lang w:val="sv-SE"/>
              </w:rPr>
              <w:t>Varsel</w:t>
            </w:r>
            <w:r>
              <w:rPr>
                <w:rFonts w:eastAsia="Times New Roman"/>
                <w:b/>
                <w:lang w:val="sv-SE"/>
              </w:rPr>
              <w:t xml:space="preserve"> om stridsåtgärder</w:t>
            </w:r>
            <w:r>
              <w:rPr>
                <w:rFonts w:eastAsia="Times New Roman"/>
                <w:b/>
                <w:vertAlign w:val="superscript"/>
                <w:lang w:val="sv-SE"/>
              </w:rPr>
              <w:t>1</w:t>
            </w:r>
          </w:p>
        </w:tc>
        <w:tc>
          <w:tcPr>
            <w:tcW w:w="1558" w:type="dxa"/>
            <w:tcBorders>
              <w:top w:val="single" w:sz="4" w:space="0" w:color="auto"/>
              <w:bottom w:val="single" w:sz="4" w:space="0" w:color="auto"/>
            </w:tcBorders>
            <w:shd w:val="clear" w:color="auto" w:fill="FFFFFF"/>
          </w:tcPr>
          <w:p w:rsidR="008A180B" w:rsidRPr="006561DB" w:rsidRDefault="008A180B" w:rsidP="008A180B">
            <w:pPr>
              <w:pStyle w:val="Tabellinnehllvnster"/>
              <w:rPr>
                <w:rFonts w:eastAsia="Times New Roman"/>
                <w:b/>
                <w:vertAlign w:val="superscript"/>
                <w:lang w:val="sv-SE"/>
              </w:rPr>
            </w:pPr>
            <w:r>
              <w:rPr>
                <w:rFonts w:eastAsia="Times New Roman"/>
                <w:b/>
                <w:lang w:val="sv-SE"/>
              </w:rPr>
              <w:t>Varsel om sympatiåtgärder</w:t>
            </w:r>
            <w:r>
              <w:rPr>
                <w:rFonts w:eastAsia="Times New Roman"/>
                <w:b/>
                <w:vertAlign w:val="superscript"/>
                <w:lang w:val="sv-SE"/>
              </w:rPr>
              <w:t>1</w:t>
            </w:r>
          </w:p>
        </w:tc>
        <w:tc>
          <w:tcPr>
            <w:tcW w:w="1416" w:type="dxa"/>
            <w:tcBorders>
              <w:top w:val="single" w:sz="4" w:space="0" w:color="auto"/>
              <w:bottom w:val="single" w:sz="4" w:space="0" w:color="auto"/>
            </w:tcBorders>
            <w:shd w:val="clear" w:color="auto" w:fill="FFFFFF"/>
          </w:tcPr>
          <w:p w:rsidR="008A180B" w:rsidRPr="006561DB" w:rsidRDefault="008A180B" w:rsidP="008A180B">
            <w:pPr>
              <w:pStyle w:val="Tabellinnehllvnster"/>
              <w:rPr>
                <w:rFonts w:eastAsia="Times New Roman"/>
                <w:b/>
                <w:vertAlign w:val="superscript"/>
                <w:lang w:val="sv-SE"/>
              </w:rPr>
            </w:pPr>
            <w:r w:rsidRPr="00EF683B">
              <w:rPr>
                <w:rFonts w:eastAsia="Times New Roman"/>
                <w:b/>
                <w:lang w:val="sv-SE"/>
              </w:rPr>
              <w:t>Verkställda stridsåtgärder</w:t>
            </w:r>
            <w:r>
              <w:rPr>
                <w:rFonts w:eastAsia="Times New Roman"/>
                <w:b/>
                <w:vertAlign w:val="superscript"/>
                <w:lang w:val="sv-SE"/>
              </w:rPr>
              <w:t>1</w:t>
            </w:r>
          </w:p>
        </w:tc>
        <w:tc>
          <w:tcPr>
            <w:tcW w:w="1838" w:type="dxa"/>
            <w:tcBorders>
              <w:top w:val="single" w:sz="4" w:space="0" w:color="auto"/>
              <w:bottom w:val="single" w:sz="4" w:space="0" w:color="auto"/>
            </w:tcBorders>
            <w:shd w:val="clear" w:color="auto" w:fill="FFFFFF"/>
          </w:tcPr>
          <w:p w:rsidR="008A180B" w:rsidRPr="00EF683B" w:rsidRDefault="008A180B" w:rsidP="008A180B">
            <w:pPr>
              <w:pStyle w:val="Tabellinnehllvnster"/>
              <w:rPr>
                <w:rFonts w:eastAsia="Times New Roman"/>
                <w:b/>
                <w:lang w:val="sv-SE"/>
              </w:rPr>
            </w:pPr>
            <w:r w:rsidRPr="00EF683B">
              <w:rPr>
                <w:rFonts w:eastAsia="Times New Roman"/>
                <w:b/>
                <w:lang w:val="sv-SE"/>
              </w:rPr>
              <w:t>Preliminärt antal förlorade arbetsdagar</w:t>
            </w:r>
          </w:p>
        </w:tc>
        <w:tc>
          <w:tcPr>
            <w:tcW w:w="1151" w:type="dxa"/>
            <w:tcBorders>
              <w:top w:val="single" w:sz="4" w:space="0" w:color="auto"/>
              <w:bottom w:val="single" w:sz="4" w:space="0" w:color="auto"/>
            </w:tcBorders>
            <w:shd w:val="clear" w:color="auto" w:fill="FFFFFF"/>
          </w:tcPr>
          <w:p w:rsidR="008A180B" w:rsidRPr="00EF683B" w:rsidRDefault="008A180B" w:rsidP="008A180B">
            <w:pPr>
              <w:pStyle w:val="Tabellinnehllvnster"/>
              <w:tabs>
                <w:tab w:val="left" w:pos="1047"/>
              </w:tabs>
              <w:rPr>
                <w:rFonts w:eastAsia="Times New Roman"/>
                <w:b/>
                <w:lang w:val="sv-SE"/>
              </w:rPr>
            </w:pPr>
            <w:r w:rsidRPr="00EF683B">
              <w:rPr>
                <w:rFonts w:eastAsia="Times New Roman"/>
                <w:b/>
                <w:lang w:val="sv-SE"/>
              </w:rPr>
              <w:t>Avtal klart</w:t>
            </w:r>
          </w:p>
        </w:tc>
      </w:tr>
      <w:tr w:rsidR="008A180B" w:rsidRPr="00EF683B" w:rsidTr="008A180B">
        <w:tc>
          <w:tcPr>
            <w:tcW w:w="3400" w:type="dxa"/>
            <w:tcBorders>
              <w:top w:val="single" w:sz="4" w:space="0" w:color="auto"/>
              <w:left w:val="single" w:sz="4" w:space="0" w:color="auto"/>
              <w:bottom w:val="nil"/>
            </w:tcBorders>
            <w:shd w:val="clear" w:color="auto" w:fill="FBD4B4" w:themeFill="accent6" w:themeFillTint="66"/>
          </w:tcPr>
          <w:p w:rsidR="008A180B" w:rsidRPr="00EF683B" w:rsidRDefault="008A180B" w:rsidP="008A180B">
            <w:pPr>
              <w:pStyle w:val="Tabellinnehllvnster"/>
              <w:tabs>
                <w:tab w:val="left" w:pos="34"/>
              </w:tabs>
              <w:ind w:left="176"/>
              <w:rPr>
                <w:rFonts w:eastAsia="Times New Roman"/>
                <w:b/>
                <w:lang w:val="sv-SE"/>
              </w:rPr>
            </w:pPr>
            <w:r w:rsidRPr="00EF683B">
              <w:rPr>
                <w:rFonts w:eastAsia="Times New Roman"/>
                <w:b/>
                <w:lang w:val="sv-SE"/>
              </w:rPr>
              <w:t>10. Almega Tjänsteförbunden/Säkerhetsföretagen  ./. Svenska Transportarbetareförbundet</w:t>
            </w:r>
          </w:p>
        </w:tc>
        <w:tc>
          <w:tcPr>
            <w:tcW w:w="2406" w:type="dxa"/>
            <w:tcBorders>
              <w:top w:val="single" w:sz="4" w:space="0" w:color="auto"/>
              <w:bottom w:val="nil"/>
            </w:tcBorders>
            <w:shd w:val="clear" w:color="auto" w:fill="FBD4B4" w:themeFill="accent6" w:themeFillTint="66"/>
          </w:tcPr>
          <w:p w:rsidR="008A180B" w:rsidRPr="00EF683B" w:rsidRDefault="008A180B" w:rsidP="008A180B">
            <w:pPr>
              <w:pStyle w:val="Tabellinnehllvnster"/>
              <w:tabs>
                <w:tab w:val="left" w:pos="176"/>
              </w:tabs>
              <w:ind w:left="178"/>
              <w:rPr>
                <w:rFonts w:eastAsia="Times New Roman"/>
                <w:b/>
                <w:lang w:val="sv-SE"/>
              </w:rPr>
            </w:pPr>
            <w:r w:rsidRPr="00EF683B">
              <w:rPr>
                <w:rFonts w:eastAsia="Times New Roman"/>
                <w:b/>
                <w:lang w:val="sv-SE"/>
              </w:rPr>
              <w:t>Erland Olauson</w:t>
            </w:r>
            <w:r w:rsidRPr="00EF683B">
              <w:rPr>
                <w:rFonts w:eastAsia="Times New Roman"/>
                <w:b/>
                <w:lang w:val="sv-SE"/>
              </w:rPr>
              <w:br/>
              <w:t>Eva-Helena Kling</w:t>
            </w:r>
          </w:p>
        </w:tc>
        <w:tc>
          <w:tcPr>
            <w:tcW w:w="2265" w:type="dxa"/>
            <w:tcBorders>
              <w:top w:val="single" w:sz="4" w:space="0" w:color="auto"/>
              <w:bottom w:val="nil"/>
            </w:tcBorders>
            <w:shd w:val="clear" w:color="auto" w:fill="FBD4B4" w:themeFill="accent6" w:themeFillTint="66"/>
          </w:tcPr>
          <w:p w:rsidR="008A180B" w:rsidRPr="00EF683B" w:rsidRDefault="008A180B" w:rsidP="008A180B">
            <w:pPr>
              <w:pStyle w:val="Tabellinnehllvnster"/>
              <w:tabs>
                <w:tab w:val="left" w:pos="176"/>
              </w:tabs>
              <w:rPr>
                <w:rFonts w:eastAsia="Times New Roman"/>
                <w:b/>
                <w:lang w:val="sv-SE"/>
              </w:rPr>
            </w:pPr>
            <w:r w:rsidRPr="00EF683B">
              <w:rPr>
                <w:rFonts w:eastAsia="Times New Roman"/>
                <w:b/>
                <w:lang w:val="sv-SE"/>
              </w:rPr>
              <w:t>Bevaknings- och säkerhetsföretag</w:t>
            </w:r>
          </w:p>
        </w:tc>
        <w:tc>
          <w:tcPr>
            <w:tcW w:w="1417" w:type="dxa"/>
            <w:tcBorders>
              <w:top w:val="single" w:sz="4" w:space="0" w:color="auto"/>
              <w:bottom w:val="nil"/>
            </w:tcBorders>
            <w:shd w:val="clear" w:color="auto" w:fill="FBD4B4" w:themeFill="accent6" w:themeFillTint="66"/>
          </w:tcPr>
          <w:p w:rsidR="008A180B" w:rsidRPr="00EF683B" w:rsidRDefault="008A180B" w:rsidP="008A180B">
            <w:pPr>
              <w:pStyle w:val="Tabellinnehllvnster"/>
              <w:tabs>
                <w:tab w:val="left" w:pos="176"/>
              </w:tabs>
              <w:ind w:left="176"/>
              <w:rPr>
                <w:rFonts w:eastAsia="Times New Roman"/>
                <w:b/>
                <w:lang w:val="sv-SE"/>
              </w:rPr>
            </w:pPr>
            <w:r w:rsidRPr="00EF683B">
              <w:rPr>
                <w:rFonts w:eastAsia="Times New Roman"/>
                <w:b/>
                <w:lang w:val="sv-SE"/>
              </w:rPr>
              <w:t>Ja</w:t>
            </w:r>
          </w:p>
        </w:tc>
        <w:tc>
          <w:tcPr>
            <w:tcW w:w="1558" w:type="dxa"/>
            <w:tcBorders>
              <w:top w:val="single" w:sz="4" w:space="0" w:color="auto"/>
              <w:bottom w:val="nil"/>
            </w:tcBorders>
            <w:shd w:val="clear" w:color="auto" w:fill="FBD4B4" w:themeFill="accent6" w:themeFillTint="66"/>
          </w:tcPr>
          <w:p w:rsidR="008A180B" w:rsidRPr="00EF683B" w:rsidRDefault="008A180B" w:rsidP="008A180B">
            <w:pPr>
              <w:pStyle w:val="Tabellinnehllvnster"/>
              <w:tabs>
                <w:tab w:val="left" w:pos="176"/>
              </w:tabs>
              <w:ind w:left="185"/>
              <w:rPr>
                <w:rFonts w:eastAsia="Times New Roman"/>
                <w:b/>
                <w:lang w:val="sv-SE"/>
              </w:rPr>
            </w:pPr>
            <w:r>
              <w:rPr>
                <w:rFonts w:eastAsia="Times New Roman"/>
                <w:b/>
                <w:lang w:val="sv-SE"/>
              </w:rPr>
              <w:t>-</w:t>
            </w:r>
          </w:p>
        </w:tc>
        <w:tc>
          <w:tcPr>
            <w:tcW w:w="1416" w:type="dxa"/>
            <w:tcBorders>
              <w:top w:val="single" w:sz="4" w:space="0" w:color="auto"/>
              <w:bottom w:val="nil"/>
            </w:tcBorders>
            <w:shd w:val="clear" w:color="auto" w:fill="FBD4B4" w:themeFill="accent6" w:themeFillTint="66"/>
          </w:tcPr>
          <w:p w:rsidR="008A180B" w:rsidRPr="00EF683B" w:rsidRDefault="008A180B" w:rsidP="008A180B">
            <w:pPr>
              <w:pStyle w:val="Tabellinnehllvnster"/>
              <w:tabs>
                <w:tab w:val="left" w:pos="176"/>
              </w:tabs>
              <w:rPr>
                <w:rFonts w:eastAsia="Times New Roman"/>
                <w:b/>
                <w:lang w:val="sv-SE"/>
              </w:rPr>
            </w:pPr>
            <w:r w:rsidRPr="00EF683B">
              <w:rPr>
                <w:rFonts w:eastAsia="Times New Roman"/>
                <w:b/>
                <w:lang w:val="sv-SE"/>
              </w:rPr>
              <w:t>-</w:t>
            </w:r>
          </w:p>
        </w:tc>
        <w:tc>
          <w:tcPr>
            <w:tcW w:w="1838" w:type="dxa"/>
            <w:tcBorders>
              <w:top w:val="single" w:sz="4" w:space="0" w:color="auto"/>
              <w:bottom w:val="nil"/>
            </w:tcBorders>
            <w:shd w:val="clear" w:color="auto" w:fill="FBD4B4" w:themeFill="accent6" w:themeFillTint="66"/>
          </w:tcPr>
          <w:p w:rsidR="008A180B" w:rsidRPr="00EF683B" w:rsidRDefault="008A180B" w:rsidP="008A180B">
            <w:pPr>
              <w:pStyle w:val="Tabellinnehllvnster"/>
              <w:tabs>
                <w:tab w:val="left" w:pos="176"/>
              </w:tabs>
              <w:rPr>
                <w:rFonts w:eastAsia="Times New Roman"/>
                <w:b/>
                <w:lang w:val="sv-SE"/>
              </w:rPr>
            </w:pPr>
            <w:r w:rsidRPr="00EF683B">
              <w:rPr>
                <w:rFonts w:eastAsia="Times New Roman"/>
                <w:b/>
                <w:lang w:val="sv-SE"/>
              </w:rPr>
              <w:t>-</w:t>
            </w:r>
          </w:p>
        </w:tc>
        <w:tc>
          <w:tcPr>
            <w:tcW w:w="1151" w:type="dxa"/>
            <w:tcBorders>
              <w:top w:val="single" w:sz="4" w:space="0" w:color="auto"/>
              <w:bottom w:val="nil"/>
            </w:tcBorders>
            <w:shd w:val="clear" w:color="auto" w:fill="FBD4B4" w:themeFill="accent6" w:themeFillTint="66"/>
          </w:tcPr>
          <w:p w:rsidR="008A180B" w:rsidRPr="00EF683B" w:rsidRDefault="008A180B" w:rsidP="008A180B">
            <w:pPr>
              <w:pStyle w:val="Tabellinnehllvnster"/>
              <w:tabs>
                <w:tab w:val="left" w:pos="176"/>
              </w:tabs>
              <w:ind w:left="34"/>
              <w:rPr>
                <w:rFonts w:eastAsia="Times New Roman"/>
                <w:b/>
                <w:lang w:val="sv-SE"/>
              </w:rPr>
            </w:pPr>
            <w:r w:rsidRPr="00EF683B">
              <w:rPr>
                <w:rFonts w:eastAsia="Times New Roman"/>
                <w:b/>
                <w:lang w:val="sv-SE"/>
              </w:rPr>
              <w:t>22 april</w:t>
            </w:r>
          </w:p>
        </w:tc>
      </w:tr>
      <w:tr w:rsidR="008A180B" w:rsidRPr="00EF683B" w:rsidTr="008A180B">
        <w:tc>
          <w:tcPr>
            <w:tcW w:w="3400" w:type="dxa"/>
            <w:tcBorders>
              <w:top w:val="nil"/>
              <w:left w:val="single" w:sz="4" w:space="0" w:color="auto"/>
              <w:bottom w:val="nil"/>
            </w:tcBorders>
            <w:shd w:val="clear" w:color="auto" w:fill="auto"/>
          </w:tcPr>
          <w:p w:rsidR="008A180B" w:rsidRPr="00EF683B" w:rsidRDefault="008A180B" w:rsidP="008A180B">
            <w:pPr>
              <w:pStyle w:val="Tabellinnehllvnster"/>
              <w:tabs>
                <w:tab w:val="left" w:pos="176"/>
              </w:tabs>
              <w:ind w:left="176"/>
              <w:rPr>
                <w:rFonts w:eastAsia="Times New Roman"/>
                <w:b/>
                <w:lang w:val="sv-SE"/>
              </w:rPr>
            </w:pPr>
            <w:r w:rsidRPr="00EF683B">
              <w:rPr>
                <w:rFonts w:eastAsia="Times New Roman"/>
                <w:b/>
                <w:lang w:val="sv-SE"/>
              </w:rPr>
              <w:t xml:space="preserve">11. Almega IT-Telekomföretagen ./. </w:t>
            </w:r>
            <w:r w:rsidRPr="00EF683B">
              <w:rPr>
                <w:rFonts w:eastAsia="Times New Roman"/>
                <w:b/>
                <w:lang w:val="sv-SE"/>
              </w:rPr>
              <w:br/>
              <w:t>SEKO – Facket för Service och Kommunikation</w:t>
            </w:r>
          </w:p>
        </w:tc>
        <w:tc>
          <w:tcPr>
            <w:tcW w:w="2406" w:type="dxa"/>
            <w:tcBorders>
              <w:top w:val="nil"/>
              <w:bottom w:val="nil"/>
            </w:tcBorders>
            <w:shd w:val="clear" w:color="auto" w:fill="auto"/>
          </w:tcPr>
          <w:p w:rsidR="008A180B" w:rsidRPr="00EF683B" w:rsidRDefault="008A180B" w:rsidP="008A180B">
            <w:pPr>
              <w:pStyle w:val="Tabellinnehllvnster"/>
              <w:tabs>
                <w:tab w:val="left" w:pos="176"/>
              </w:tabs>
              <w:ind w:left="176"/>
              <w:rPr>
                <w:rFonts w:eastAsia="Times New Roman"/>
                <w:b/>
                <w:lang w:val="sv-SE"/>
              </w:rPr>
            </w:pPr>
            <w:r w:rsidRPr="00EF683B">
              <w:rPr>
                <w:rFonts w:eastAsia="Times New Roman"/>
                <w:b/>
                <w:lang w:val="sv-SE"/>
              </w:rPr>
              <w:t>Jan Sjölin</w:t>
            </w:r>
            <w:r w:rsidRPr="00EF683B">
              <w:rPr>
                <w:rFonts w:eastAsia="Times New Roman"/>
                <w:b/>
                <w:lang w:val="sv-SE"/>
              </w:rPr>
              <w:br/>
              <w:t>Anders Sandgren</w:t>
            </w:r>
          </w:p>
        </w:tc>
        <w:tc>
          <w:tcPr>
            <w:tcW w:w="2265" w:type="dxa"/>
            <w:tcBorders>
              <w:top w:val="nil"/>
              <w:bottom w:val="nil"/>
            </w:tcBorders>
            <w:shd w:val="clear" w:color="auto" w:fill="auto"/>
          </w:tcPr>
          <w:p w:rsidR="008A180B" w:rsidRPr="00EF683B" w:rsidRDefault="008A180B" w:rsidP="008A180B">
            <w:pPr>
              <w:pStyle w:val="Tabellinnehllvnster"/>
              <w:tabs>
                <w:tab w:val="left" w:pos="176"/>
              </w:tabs>
              <w:ind w:left="176"/>
              <w:rPr>
                <w:rFonts w:eastAsia="Times New Roman"/>
                <w:b/>
                <w:lang w:val="sv-SE"/>
              </w:rPr>
            </w:pPr>
            <w:r w:rsidRPr="00EF683B">
              <w:rPr>
                <w:rFonts w:eastAsia="Times New Roman"/>
                <w:b/>
                <w:lang w:val="sv-SE"/>
              </w:rPr>
              <w:t>Telekom</w:t>
            </w:r>
          </w:p>
        </w:tc>
        <w:tc>
          <w:tcPr>
            <w:tcW w:w="1417" w:type="dxa"/>
            <w:tcBorders>
              <w:top w:val="nil"/>
              <w:bottom w:val="nil"/>
            </w:tcBorders>
            <w:shd w:val="clear" w:color="auto" w:fill="auto"/>
          </w:tcPr>
          <w:p w:rsidR="008A180B" w:rsidRPr="00EF683B" w:rsidRDefault="008A180B" w:rsidP="008A180B">
            <w:pPr>
              <w:pStyle w:val="Tabellinnehllvnster"/>
              <w:tabs>
                <w:tab w:val="left" w:pos="176"/>
              </w:tabs>
              <w:ind w:left="176"/>
              <w:rPr>
                <w:rFonts w:eastAsia="Times New Roman"/>
                <w:b/>
                <w:lang w:val="sv-SE"/>
              </w:rPr>
            </w:pPr>
            <w:r w:rsidRPr="00EF683B">
              <w:rPr>
                <w:rFonts w:eastAsia="Times New Roman"/>
                <w:b/>
                <w:lang w:val="sv-SE"/>
              </w:rPr>
              <w:t>Ja</w:t>
            </w:r>
          </w:p>
        </w:tc>
        <w:tc>
          <w:tcPr>
            <w:tcW w:w="1558" w:type="dxa"/>
            <w:tcBorders>
              <w:top w:val="nil"/>
              <w:bottom w:val="nil"/>
            </w:tcBorders>
          </w:tcPr>
          <w:p w:rsidR="008A180B" w:rsidRPr="00EF683B" w:rsidRDefault="008A180B" w:rsidP="008A180B">
            <w:pPr>
              <w:pStyle w:val="Tabellinnehllvnster"/>
              <w:tabs>
                <w:tab w:val="left" w:pos="176"/>
              </w:tabs>
              <w:ind w:left="176"/>
              <w:rPr>
                <w:rFonts w:eastAsia="Times New Roman"/>
                <w:b/>
                <w:lang w:val="sv-SE"/>
              </w:rPr>
            </w:pPr>
            <w:r>
              <w:rPr>
                <w:rFonts w:eastAsia="Times New Roman"/>
                <w:b/>
                <w:lang w:val="sv-SE"/>
              </w:rPr>
              <w:t>-</w:t>
            </w:r>
          </w:p>
        </w:tc>
        <w:tc>
          <w:tcPr>
            <w:tcW w:w="1416" w:type="dxa"/>
            <w:tcBorders>
              <w:top w:val="nil"/>
              <w:bottom w:val="nil"/>
            </w:tcBorders>
            <w:shd w:val="clear" w:color="auto" w:fill="auto"/>
          </w:tcPr>
          <w:p w:rsidR="008A180B" w:rsidRPr="00EF683B" w:rsidRDefault="008A180B" w:rsidP="008A180B">
            <w:pPr>
              <w:pStyle w:val="Tabellinnehllvnster"/>
              <w:tabs>
                <w:tab w:val="left" w:pos="176"/>
              </w:tabs>
              <w:ind w:left="176"/>
              <w:rPr>
                <w:rFonts w:eastAsia="Times New Roman"/>
                <w:b/>
                <w:lang w:val="sv-SE"/>
              </w:rPr>
            </w:pPr>
            <w:r w:rsidRPr="00EF683B">
              <w:rPr>
                <w:rFonts w:eastAsia="Times New Roman"/>
                <w:b/>
                <w:lang w:val="sv-SE"/>
              </w:rPr>
              <w:t>-</w:t>
            </w:r>
          </w:p>
        </w:tc>
        <w:tc>
          <w:tcPr>
            <w:tcW w:w="1838" w:type="dxa"/>
            <w:tcBorders>
              <w:top w:val="nil"/>
              <w:bottom w:val="nil"/>
            </w:tcBorders>
            <w:shd w:val="clear" w:color="auto" w:fill="auto"/>
          </w:tcPr>
          <w:p w:rsidR="008A180B" w:rsidRPr="00EF683B" w:rsidRDefault="008A180B" w:rsidP="008A180B">
            <w:pPr>
              <w:pStyle w:val="Tabellinnehllvnster"/>
              <w:tabs>
                <w:tab w:val="left" w:pos="176"/>
              </w:tabs>
              <w:ind w:left="176"/>
              <w:rPr>
                <w:rFonts w:eastAsia="Times New Roman"/>
                <w:b/>
                <w:lang w:val="sv-SE"/>
              </w:rPr>
            </w:pPr>
            <w:r w:rsidRPr="00EF683B">
              <w:rPr>
                <w:rFonts w:eastAsia="Times New Roman"/>
                <w:b/>
                <w:lang w:val="sv-SE"/>
              </w:rPr>
              <w:t>-</w:t>
            </w:r>
          </w:p>
        </w:tc>
        <w:tc>
          <w:tcPr>
            <w:tcW w:w="1151" w:type="dxa"/>
            <w:tcBorders>
              <w:top w:val="nil"/>
              <w:bottom w:val="nil"/>
            </w:tcBorders>
            <w:shd w:val="clear" w:color="auto" w:fill="auto"/>
          </w:tcPr>
          <w:p w:rsidR="008A180B" w:rsidRPr="00EF683B" w:rsidRDefault="008A180B" w:rsidP="008A180B">
            <w:pPr>
              <w:pStyle w:val="Tabellinnehllvnster"/>
              <w:tabs>
                <w:tab w:val="left" w:pos="176"/>
              </w:tabs>
              <w:ind w:left="176"/>
              <w:rPr>
                <w:rFonts w:eastAsia="Times New Roman"/>
                <w:b/>
                <w:lang w:val="sv-SE"/>
              </w:rPr>
            </w:pPr>
            <w:r w:rsidRPr="00EF683B">
              <w:rPr>
                <w:rFonts w:eastAsia="Times New Roman"/>
                <w:b/>
                <w:lang w:val="sv-SE"/>
              </w:rPr>
              <w:t>24 april</w:t>
            </w:r>
          </w:p>
        </w:tc>
      </w:tr>
      <w:tr w:rsidR="008A180B" w:rsidRPr="00EF683B" w:rsidTr="008A180B">
        <w:tc>
          <w:tcPr>
            <w:tcW w:w="3400" w:type="dxa"/>
            <w:tcBorders>
              <w:top w:val="nil"/>
              <w:left w:val="single" w:sz="4" w:space="0" w:color="auto"/>
              <w:bottom w:val="nil"/>
            </w:tcBorders>
            <w:shd w:val="clear" w:color="auto" w:fill="FBD4B4" w:themeFill="accent6" w:themeFillTint="66"/>
          </w:tcPr>
          <w:p w:rsidR="008A180B" w:rsidRPr="00EF683B" w:rsidRDefault="008A180B" w:rsidP="008A180B">
            <w:pPr>
              <w:pStyle w:val="Tabellinnehllvnster"/>
              <w:tabs>
                <w:tab w:val="left" w:pos="176"/>
              </w:tabs>
              <w:ind w:left="176"/>
              <w:rPr>
                <w:rFonts w:eastAsia="Times New Roman"/>
                <w:b/>
                <w:lang w:val="sv-SE"/>
              </w:rPr>
            </w:pPr>
            <w:r w:rsidRPr="00EF683B">
              <w:rPr>
                <w:rFonts w:eastAsia="Times New Roman"/>
                <w:b/>
                <w:lang w:val="sv-SE"/>
              </w:rPr>
              <w:t xml:space="preserve">12. Plåtslageriernas Riksförbund ./. </w:t>
            </w:r>
            <w:r w:rsidRPr="00EF683B">
              <w:rPr>
                <w:rFonts w:eastAsia="Times New Roman"/>
                <w:b/>
                <w:lang w:val="sv-SE"/>
              </w:rPr>
              <w:br/>
              <w:t>Svenska Byggnadsarbetareförbundet</w:t>
            </w:r>
          </w:p>
        </w:tc>
        <w:tc>
          <w:tcPr>
            <w:tcW w:w="2406" w:type="dxa"/>
            <w:tcBorders>
              <w:top w:val="nil"/>
              <w:bottom w:val="nil"/>
            </w:tcBorders>
            <w:shd w:val="clear" w:color="auto" w:fill="FBD4B4" w:themeFill="accent6" w:themeFillTint="66"/>
          </w:tcPr>
          <w:p w:rsidR="008A180B" w:rsidRPr="00EF683B" w:rsidRDefault="008A180B" w:rsidP="008A180B">
            <w:pPr>
              <w:pStyle w:val="Tabellinnehllvnster"/>
              <w:tabs>
                <w:tab w:val="left" w:pos="176"/>
              </w:tabs>
              <w:ind w:left="176"/>
              <w:rPr>
                <w:rFonts w:eastAsia="Times New Roman"/>
                <w:b/>
                <w:lang w:val="sv-SE"/>
              </w:rPr>
            </w:pPr>
            <w:r w:rsidRPr="00EF683B">
              <w:rPr>
                <w:rFonts w:eastAsia="Times New Roman"/>
                <w:b/>
                <w:lang w:val="sv-SE"/>
              </w:rPr>
              <w:t>Göte Larsson</w:t>
            </w:r>
            <w:r w:rsidRPr="00EF683B">
              <w:rPr>
                <w:rFonts w:eastAsia="Times New Roman"/>
                <w:b/>
                <w:lang w:val="sv-SE"/>
              </w:rPr>
              <w:br/>
              <w:t>Lars-Bonny Ramstedt</w:t>
            </w:r>
          </w:p>
        </w:tc>
        <w:tc>
          <w:tcPr>
            <w:tcW w:w="2265" w:type="dxa"/>
            <w:tcBorders>
              <w:top w:val="nil"/>
              <w:bottom w:val="nil"/>
            </w:tcBorders>
            <w:shd w:val="clear" w:color="auto" w:fill="FBD4B4" w:themeFill="accent6" w:themeFillTint="66"/>
          </w:tcPr>
          <w:p w:rsidR="008A180B" w:rsidRPr="00EF683B" w:rsidRDefault="008A180B" w:rsidP="008A180B">
            <w:pPr>
              <w:pStyle w:val="Tabellinnehllvnster"/>
              <w:tabs>
                <w:tab w:val="left" w:pos="176"/>
              </w:tabs>
              <w:ind w:left="176"/>
              <w:rPr>
                <w:rFonts w:eastAsia="Times New Roman"/>
                <w:b/>
                <w:lang w:val="sv-SE"/>
              </w:rPr>
            </w:pPr>
            <w:r w:rsidRPr="00EF683B">
              <w:rPr>
                <w:rFonts w:eastAsia="Times New Roman"/>
                <w:b/>
                <w:lang w:val="sv-SE"/>
              </w:rPr>
              <w:t>Byggnadsplåtslageri, ventilationsarbeten och plåtbearbetning</w:t>
            </w:r>
          </w:p>
        </w:tc>
        <w:tc>
          <w:tcPr>
            <w:tcW w:w="1417" w:type="dxa"/>
            <w:tcBorders>
              <w:top w:val="nil"/>
              <w:bottom w:val="nil"/>
            </w:tcBorders>
            <w:shd w:val="clear" w:color="auto" w:fill="FBD4B4" w:themeFill="accent6" w:themeFillTint="66"/>
          </w:tcPr>
          <w:p w:rsidR="008A180B" w:rsidRPr="00EF683B" w:rsidRDefault="008A180B" w:rsidP="008A180B">
            <w:pPr>
              <w:pStyle w:val="Tabellinnehllvnster"/>
              <w:tabs>
                <w:tab w:val="left" w:pos="176"/>
              </w:tabs>
              <w:ind w:left="176"/>
              <w:rPr>
                <w:rFonts w:eastAsia="Times New Roman"/>
                <w:b/>
                <w:lang w:val="sv-SE"/>
              </w:rPr>
            </w:pPr>
            <w:r w:rsidRPr="00EF683B">
              <w:rPr>
                <w:rFonts w:eastAsia="Times New Roman"/>
                <w:b/>
                <w:lang w:val="sv-SE"/>
              </w:rPr>
              <w:t>Ja</w:t>
            </w:r>
          </w:p>
        </w:tc>
        <w:tc>
          <w:tcPr>
            <w:tcW w:w="1558" w:type="dxa"/>
            <w:tcBorders>
              <w:top w:val="nil"/>
              <w:bottom w:val="nil"/>
            </w:tcBorders>
            <w:shd w:val="clear" w:color="auto" w:fill="FBD4B4" w:themeFill="accent6" w:themeFillTint="66"/>
          </w:tcPr>
          <w:p w:rsidR="008A180B" w:rsidRPr="00EF683B" w:rsidRDefault="008A180B" w:rsidP="008A180B">
            <w:pPr>
              <w:pStyle w:val="Tabellinnehllvnster"/>
              <w:tabs>
                <w:tab w:val="left" w:pos="176"/>
              </w:tabs>
              <w:ind w:left="176"/>
              <w:rPr>
                <w:rFonts w:eastAsia="Times New Roman"/>
                <w:b/>
                <w:lang w:val="sv-SE"/>
              </w:rPr>
            </w:pPr>
            <w:r>
              <w:rPr>
                <w:rFonts w:eastAsia="Times New Roman"/>
                <w:b/>
                <w:lang w:val="sv-SE"/>
              </w:rPr>
              <w:t>-</w:t>
            </w:r>
          </w:p>
        </w:tc>
        <w:tc>
          <w:tcPr>
            <w:tcW w:w="1416" w:type="dxa"/>
            <w:tcBorders>
              <w:top w:val="nil"/>
              <w:bottom w:val="nil"/>
            </w:tcBorders>
            <w:shd w:val="clear" w:color="auto" w:fill="FBD4B4" w:themeFill="accent6" w:themeFillTint="66"/>
          </w:tcPr>
          <w:p w:rsidR="008A180B" w:rsidRPr="00EF683B" w:rsidRDefault="008A180B" w:rsidP="008A180B">
            <w:pPr>
              <w:pStyle w:val="Tabellinnehllvnster"/>
              <w:tabs>
                <w:tab w:val="left" w:pos="176"/>
              </w:tabs>
              <w:ind w:left="176"/>
              <w:rPr>
                <w:rFonts w:eastAsia="Times New Roman"/>
                <w:b/>
                <w:lang w:val="sv-SE"/>
              </w:rPr>
            </w:pPr>
            <w:r w:rsidRPr="00EF683B">
              <w:rPr>
                <w:rFonts w:eastAsia="Times New Roman"/>
                <w:b/>
                <w:lang w:val="sv-SE"/>
              </w:rPr>
              <w:t>25 april–25 maj</w:t>
            </w:r>
          </w:p>
        </w:tc>
        <w:tc>
          <w:tcPr>
            <w:tcW w:w="1838" w:type="dxa"/>
            <w:tcBorders>
              <w:top w:val="nil"/>
              <w:bottom w:val="nil"/>
            </w:tcBorders>
            <w:shd w:val="clear" w:color="auto" w:fill="FBD4B4" w:themeFill="accent6" w:themeFillTint="66"/>
          </w:tcPr>
          <w:p w:rsidR="008A180B" w:rsidRPr="00EF683B" w:rsidRDefault="008A180B" w:rsidP="008A180B">
            <w:pPr>
              <w:pStyle w:val="Tabellinnehllvnster"/>
              <w:tabs>
                <w:tab w:val="left" w:pos="176"/>
              </w:tabs>
              <w:ind w:left="176"/>
              <w:rPr>
                <w:rFonts w:eastAsia="Times New Roman"/>
                <w:b/>
                <w:lang w:val="sv-SE"/>
              </w:rPr>
            </w:pPr>
            <w:r w:rsidRPr="00EF683B">
              <w:rPr>
                <w:rFonts w:eastAsia="Times New Roman"/>
                <w:b/>
                <w:lang w:val="sv-SE"/>
              </w:rPr>
              <w:t>ca 38 000 för nr 12 och nr 13</w:t>
            </w:r>
          </w:p>
        </w:tc>
        <w:tc>
          <w:tcPr>
            <w:tcW w:w="1151" w:type="dxa"/>
            <w:tcBorders>
              <w:top w:val="nil"/>
              <w:bottom w:val="nil"/>
            </w:tcBorders>
            <w:shd w:val="clear" w:color="auto" w:fill="FBD4B4" w:themeFill="accent6" w:themeFillTint="66"/>
          </w:tcPr>
          <w:p w:rsidR="008A180B" w:rsidRPr="00EF683B" w:rsidRDefault="008A180B" w:rsidP="008A180B">
            <w:pPr>
              <w:pStyle w:val="Tabellinnehllvnster"/>
              <w:tabs>
                <w:tab w:val="left" w:pos="176"/>
              </w:tabs>
              <w:ind w:left="176"/>
              <w:rPr>
                <w:rFonts w:eastAsia="Times New Roman"/>
                <w:b/>
                <w:lang w:val="sv-SE"/>
              </w:rPr>
            </w:pPr>
            <w:r w:rsidRPr="00EF683B">
              <w:rPr>
                <w:rFonts w:eastAsia="Times New Roman"/>
                <w:b/>
                <w:lang w:val="sv-SE"/>
              </w:rPr>
              <w:t>25 maj</w:t>
            </w:r>
          </w:p>
        </w:tc>
      </w:tr>
      <w:tr w:rsidR="008A180B" w:rsidRPr="00EF683B" w:rsidTr="008A180B">
        <w:tc>
          <w:tcPr>
            <w:tcW w:w="3400" w:type="dxa"/>
            <w:tcBorders>
              <w:top w:val="nil"/>
              <w:left w:val="single" w:sz="4" w:space="0" w:color="auto"/>
              <w:bottom w:val="nil"/>
            </w:tcBorders>
            <w:shd w:val="clear" w:color="auto" w:fill="auto"/>
          </w:tcPr>
          <w:p w:rsidR="008A180B" w:rsidRPr="00EF683B" w:rsidRDefault="008A180B" w:rsidP="008A180B">
            <w:pPr>
              <w:pStyle w:val="Tabellinnehllvnster"/>
              <w:tabs>
                <w:tab w:val="left" w:pos="176"/>
              </w:tabs>
              <w:ind w:left="176"/>
              <w:rPr>
                <w:rFonts w:eastAsia="Times New Roman"/>
                <w:b/>
                <w:lang w:val="sv-SE"/>
              </w:rPr>
            </w:pPr>
            <w:r w:rsidRPr="00EF683B">
              <w:rPr>
                <w:rFonts w:eastAsia="Times New Roman"/>
                <w:b/>
                <w:lang w:val="sv-SE"/>
              </w:rPr>
              <w:t>13. VVS Företagen ./.</w:t>
            </w:r>
            <w:r w:rsidRPr="00EF683B">
              <w:rPr>
                <w:rFonts w:eastAsia="Times New Roman"/>
                <w:b/>
                <w:lang w:val="sv-SE"/>
              </w:rPr>
              <w:br/>
              <w:t>Svenska Byggnadsarbetareförbundet</w:t>
            </w:r>
          </w:p>
        </w:tc>
        <w:tc>
          <w:tcPr>
            <w:tcW w:w="2406" w:type="dxa"/>
            <w:tcBorders>
              <w:top w:val="nil"/>
              <w:bottom w:val="nil"/>
            </w:tcBorders>
            <w:shd w:val="clear" w:color="auto" w:fill="auto"/>
          </w:tcPr>
          <w:p w:rsidR="008A180B" w:rsidRPr="00EF683B" w:rsidRDefault="008A180B" w:rsidP="008A180B">
            <w:pPr>
              <w:pStyle w:val="Tabellinnehllvnster"/>
              <w:tabs>
                <w:tab w:val="left" w:pos="176"/>
              </w:tabs>
              <w:ind w:left="176"/>
              <w:rPr>
                <w:rFonts w:eastAsia="Times New Roman"/>
                <w:b/>
                <w:lang w:val="sv-SE"/>
              </w:rPr>
            </w:pPr>
            <w:r w:rsidRPr="00EF683B">
              <w:rPr>
                <w:rFonts w:eastAsia="Times New Roman"/>
                <w:b/>
                <w:lang w:val="sv-SE"/>
              </w:rPr>
              <w:t>Göte Larsson</w:t>
            </w:r>
            <w:r w:rsidRPr="00EF683B">
              <w:rPr>
                <w:rFonts w:eastAsia="Times New Roman"/>
                <w:b/>
                <w:lang w:val="sv-SE"/>
              </w:rPr>
              <w:br/>
              <w:t>Lars-Bonny Ramstedt</w:t>
            </w:r>
          </w:p>
        </w:tc>
        <w:tc>
          <w:tcPr>
            <w:tcW w:w="2265" w:type="dxa"/>
            <w:tcBorders>
              <w:top w:val="nil"/>
              <w:bottom w:val="nil"/>
            </w:tcBorders>
            <w:shd w:val="clear" w:color="auto" w:fill="auto"/>
          </w:tcPr>
          <w:p w:rsidR="008A180B" w:rsidRPr="00EF683B" w:rsidRDefault="008A180B" w:rsidP="008A180B">
            <w:pPr>
              <w:pStyle w:val="Tabellinnehllvnster"/>
              <w:tabs>
                <w:tab w:val="left" w:pos="176"/>
              </w:tabs>
              <w:ind w:left="176"/>
              <w:rPr>
                <w:rFonts w:eastAsia="Times New Roman"/>
                <w:b/>
                <w:lang w:val="sv-SE"/>
              </w:rPr>
            </w:pPr>
            <w:r w:rsidRPr="00EF683B">
              <w:rPr>
                <w:rFonts w:eastAsia="Times New Roman"/>
                <w:b/>
                <w:lang w:val="sv-SE"/>
              </w:rPr>
              <w:t>VVS- och kylavtalet</w:t>
            </w:r>
          </w:p>
        </w:tc>
        <w:tc>
          <w:tcPr>
            <w:tcW w:w="1417" w:type="dxa"/>
            <w:tcBorders>
              <w:top w:val="nil"/>
              <w:bottom w:val="nil"/>
            </w:tcBorders>
            <w:shd w:val="clear" w:color="auto" w:fill="auto"/>
          </w:tcPr>
          <w:p w:rsidR="008A180B" w:rsidRPr="00EF683B" w:rsidRDefault="008A180B" w:rsidP="008A180B">
            <w:pPr>
              <w:pStyle w:val="Tabellinnehllvnster"/>
              <w:tabs>
                <w:tab w:val="left" w:pos="176"/>
              </w:tabs>
              <w:ind w:left="176"/>
              <w:rPr>
                <w:rFonts w:eastAsia="Times New Roman"/>
                <w:b/>
                <w:lang w:val="sv-SE"/>
              </w:rPr>
            </w:pPr>
            <w:r w:rsidRPr="00EF683B">
              <w:rPr>
                <w:rFonts w:eastAsia="Times New Roman"/>
                <w:b/>
                <w:lang w:val="sv-SE"/>
              </w:rPr>
              <w:t>Ja</w:t>
            </w:r>
          </w:p>
        </w:tc>
        <w:tc>
          <w:tcPr>
            <w:tcW w:w="1558" w:type="dxa"/>
            <w:tcBorders>
              <w:top w:val="nil"/>
              <w:bottom w:val="nil"/>
            </w:tcBorders>
          </w:tcPr>
          <w:p w:rsidR="008A180B" w:rsidRPr="00EF683B" w:rsidRDefault="008A180B" w:rsidP="008A180B">
            <w:pPr>
              <w:pStyle w:val="Tabellinnehllvnster"/>
              <w:tabs>
                <w:tab w:val="left" w:pos="176"/>
              </w:tabs>
              <w:ind w:left="176"/>
              <w:rPr>
                <w:rFonts w:eastAsia="Times New Roman"/>
                <w:b/>
                <w:lang w:val="sv-SE"/>
              </w:rPr>
            </w:pPr>
            <w:r>
              <w:rPr>
                <w:rFonts w:eastAsia="Times New Roman"/>
                <w:b/>
                <w:lang w:val="sv-SE"/>
              </w:rPr>
              <w:t>-</w:t>
            </w:r>
          </w:p>
        </w:tc>
        <w:tc>
          <w:tcPr>
            <w:tcW w:w="1416" w:type="dxa"/>
            <w:tcBorders>
              <w:top w:val="nil"/>
              <w:bottom w:val="nil"/>
            </w:tcBorders>
            <w:shd w:val="clear" w:color="auto" w:fill="auto"/>
          </w:tcPr>
          <w:p w:rsidR="008A180B" w:rsidRPr="00EF683B" w:rsidRDefault="008A180B" w:rsidP="008A180B">
            <w:pPr>
              <w:pStyle w:val="Tabellinnehllvnster"/>
              <w:tabs>
                <w:tab w:val="left" w:pos="176"/>
              </w:tabs>
              <w:ind w:left="176"/>
              <w:rPr>
                <w:rFonts w:eastAsia="Times New Roman"/>
                <w:b/>
                <w:lang w:val="sv-SE"/>
              </w:rPr>
            </w:pPr>
            <w:r w:rsidRPr="00EF683B">
              <w:rPr>
                <w:rFonts w:eastAsia="Times New Roman"/>
                <w:b/>
                <w:lang w:val="sv-SE"/>
              </w:rPr>
              <w:t>25 april–25 maj</w:t>
            </w:r>
          </w:p>
        </w:tc>
        <w:tc>
          <w:tcPr>
            <w:tcW w:w="1838" w:type="dxa"/>
            <w:tcBorders>
              <w:top w:val="nil"/>
              <w:bottom w:val="nil"/>
            </w:tcBorders>
            <w:shd w:val="clear" w:color="auto" w:fill="auto"/>
          </w:tcPr>
          <w:p w:rsidR="008A180B" w:rsidRPr="00EF683B" w:rsidRDefault="008A180B" w:rsidP="008A180B">
            <w:pPr>
              <w:pStyle w:val="Tabellinnehllvnster"/>
              <w:tabs>
                <w:tab w:val="left" w:pos="176"/>
              </w:tabs>
              <w:ind w:left="176"/>
              <w:rPr>
                <w:rFonts w:eastAsia="Times New Roman"/>
                <w:b/>
                <w:lang w:val="sv-SE"/>
              </w:rPr>
            </w:pPr>
            <w:r w:rsidRPr="00EF683B">
              <w:rPr>
                <w:rFonts w:eastAsia="Times New Roman"/>
                <w:b/>
                <w:lang w:val="sv-SE"/>
              </w:rPr>
              <w:t>se nr 12</w:t>
            </w:r>
          </w:p>
        </w:tc>
        <w:tc>
          <w:tcPr>
            <w:tcW w:w="1151" w:type="dxa"/>
            <w:tcBorders>
              <w:top w:val="nil"/>
              <w:bottom w:val="nil"/>
            </w:tcBorders>
            <w:shd w:val="clear" w:color="auto" w:fill="auto"/>
          </w:tcPr>
          <w:p w:rsidR="008A180B" w:rsidRPr="00EF683B" w:rsidRDefault="008A180B" w:rsidP="008A180B">
            <w:pPr>
              <w:pStyle w:val="Tabellinnehllvnster"/>
              <w:tabs>
                <w:tab w:val="left" w:pos="176"/>
              </w:tabs>
              <w:ind w:left="176"/>
              <w:rPr>
                <w:rFonts w:eastAsia="Times New Roman"/>
                <w:b/>
                <w:lang w:val="sv-SE"/>
              </w:rPr>
            </w:pPr>
            <w:r w:rsidRPr="00EF683B">
              <w:rPr>
                <w:rFonts w:eastAsia="Times New Roman"/>
                <w:b/>
                <w:lang w:val="sv-SE"/>
              </w:rPr>
              <w:t>25 maj</w:t>
            </w:r>
          </w:p>
        </w:tc>
      </w:tr>
      <w:tr w:rsidR="008A180B" w:rsidRPr="00EF683B" w:rsidTr="008A180B">
        <w:tc>
          <w:tcPr>
            <w:tcW w:w="3400" w:type="dxa"/>
            <w:tcBorders>
              <w:top w:val="nil"/>
              <w:left w:val="single" w:sz="4" w:space="0" w:color="auto"/>
              <w:bottom w:val="nil"/>
            </w:tcBorders>
            <w:shd w:val="clear" w:color="auto" w:fill="FBD4B4" w:themeFill="accent6" w:themeFillTint="66"/>
          </w:tcPr>
          <w:p w:rsidR="008A180B" w:rsidRPr="00EF683B" w:rsidRDefault="008A180B" w:rsidP="008A180B">
            <w:pPr>
              <w:pStyle w:val="Tabellinnehllvnster"/>
              <w:tabs>
                <w:tab w:val="left" w:pos="176"/>
              </w:tabs>
              <w:ind w:left="176"/>
              <w:rPr>
                <w:rFonts w:eastAsia="Times New Roman"/>
                <w:b/>
                <w:lang w:val="sv-SE"/>
              </w:rPr>
            </w:pPr>
            <w:r w:rsidRPr="00EF683B">
              <w:rPr>
                <w:rFonts w:eastAsia="Times New Roman"/>
                <w:b/>
                <w:lang w:val="sv-SE"/>
              </w:rPr>
              <w:t>14. Almega Tjänsteförbunden ./.</w:t>
            </w:r>
            <w:r w:rsidRPr="00EF683B">
              <w:rPr>
                <w:rFonts w:eastAsia="Times New Roman"/>
                <w:b/>
                <w:lang w:val="sv-SE"/>
              </w:rPr>
              <w:br/>
              <w:t>Unionen</w:t>
            </w:r>
          </w:p>
        </w:tc>
        <w:tc>
          <w:tcPr>
            <w:tcW w:w="2406" w:type="dxa"/>
            <w:tcBorders>
              <w:top w:val="nil"/>
              <w:bottom w:val="nil"/>
            </w:tcBorders>
            <w:shd w:val="clear" w:color="auto" w:fill="FBD4B4" w:themeFill="accent6" w:themeFillTint="66"/>
          </w:tcPr>
          <w:p w:rsidR="008A180B" w:rsidRPr="00EF683B" w:rsidRDefault="008A180B" w:rsidP="008A180B">
            <w:pPr>
              <w:pStyle w:val="Tabellinnehllvnster"/>
              <w:tabs>
                <w:tab w:val="left" w:pos="176"/>
              </w:tabs>
              <w:ind w:left="176"/>
              <w:rPr>
                <w:rFonts w:eastAsia="Times New Roman"/>
                <w:b/>
                <w:lang w:val="sv-SE"/>
              </w:rPr>
            </w:pPr>
            <w:r w:rsidRPr="00EF683B">
              <w:rPr>
                <w:rFonts w:eastAsia="Times New Roman"/>
                <w:b/>
                <w:lang w:val="sv-SE"/>
              </w:rPr>
              <w:t>Inger Örtendahl</w:t>
            </w:r>
            <w:r w:rsidRPr="00EF683B">
              <w:rPr>
                <w:rFonts w:eastAsia="Times New Roman"/>
                <w:b/>
                <w:lang w:val="sv-SE"/>
              </w:rPr>
              <w:br/>
              <w:t>Karl Olof Stenqvist</w:t>
            </w:r>
          </w:p>
        </w:tc>
        <w:tc>
          <w:tcPr>
            <w:tcW w:w="2265" w:type="dxa"/>
            <w:tcBorders>
              <w:top w:val="nil"/>
              <w:bottom w:val="nil"/>
            </w:tcBorders>
            <w:shd w:val="clear" w:color="auto" w:fill="FBD4B4" w:themeFill="accent6" w:themeFillTint="66"/>
          </w:tcPr>
          <w:p w:rsidR="008A180B" w:rsidRPr="00EF683B" w:rsidRDefault="008A180B" w:rsidP="008A180B">
            <w:pPr>
              <w:pStyle w:val="Tabellinnehllvnster"/>
              <w:tabs>
                <w:tab w:val="left" w:pos="176"/>
              </w:tabs>
              <w:ind w:left="176"/>
              <w:rPr>
                <w:rFonts w:eastAsia="Times New Roman"/>
                <w:b/>
                <w:lang w:val="sv-SE"/>
              </w:rPr>
            </w:pPr>
            <w:r w:rsidRPr="00EF683B">
              <w:rPr>
                <w:rFonts w:eastAsia="Times New Roman"/>
                <w:b/>
                <w:lang w:val="sv-SE"/>
              </w:rPr>
              <w:t>Utveckling och tjänster</w:t>
            </w:r>
          </w:p>
        </w:tc>
        <w:tc>
          <w:tcPr>
            <w:tcW w:w="1417" w:type="dxa"/>
            <w:tcBorders>
              <w:top w:val="nil"/>
              <w:bottom w:val="nil"/>
            </w:tcBorders>
            <w:shd w:val="clear" w:color="auto" w:fill="FBD4B4" w:themeFill="accent6" w:themeFillTint="66"/>
          </w:tcPr>
          <w:p w:rsidR="008A180B" w:rsidRPr="00EF683B" w:rsidRDefault="008A180B" w:rsidP="008A180B">
            <w:pPr>
              <w:pStyle w:val="Tabellinnehllvnster"/>
              <w:tabs>
                <w:tab w:val="left" w:pos="176"/>
              </w:tabs>
              <w:ind w:left="176"/>
              <w:rPr>
                <w:rFonts w:eastAsia="Times New Roman"/>
                <w:b/>
                <w:vertAlign w:val="superscript"/>
                <w:lang w:val="sv-SE"/>
              </w:rPr>
            </w:pPr>
            <w:r>
              <w:rPr>
                <w:rFonts w:eastAsia="Times New Roman"/>
                <w:b/>
                <w:lang w:val="sv-SE"/>
              </w:rPr>
              <w:t>(N</w:t>
            </w:r>
            <w:r w:rsidRPr="00EF683B">
              <w:rPr>
                <w:rFonts w:eastAsia="Times New Roman"/>
                <w:b/>
                <w:lang w:val="sv-SE"/>
              </w:rPr>
              <w:t>ej)</w:t>
            </w:r>
            <w:r>
              <w:rPr>
                <w:rFonts w:eastAsia="Times New Roman"/>
                <w:b/>
                <w:vertAlign w:val="superscript"/>
                <w:lang w:val="sv-SE"/>
              </w:rPr>
              <w:t>2</w:t>
            </w:r>
          </w:p>
          <w:p w:rsidR="008A180B" w:rsidRPr="00EF683B" w:rsidRDefault="008A180B" w:rsidP="008A180B">
            <w:pPr>
              <w:pStyle w:val="Tabellinnehllvnster"/>
              <w:tabs>
                <w:tab w:val="left" w:pos="176"/>
              </w:tabs>
              <w:ind w:left="176"/>
              <w:rPr>
                <w:rFonts w:eastAsia="Times New Roman"/>
                <w:b/>
                <w:lang w:val="sv-SE"/>
              </w:rPr>
            </w:pPr>
            <w:r>
              <w:rPr>
                <w:rFonts w:eastAsia="Times New Roman"/>
                <w:b/>
                <w:lang w:val="sv-SE"/>
              </w:rPr>
              <w:t>J</w:t>
            </w:r>
            <w:r w:rsidRPr="00EF683B">
              <w:rPr>
                <w:rFonts w:eastAsia="Times New Roman"/>
                <w:b/>
                <w:lang w:val="sv-SE"/>
              </w:rPr>
              <w:t>a</w:t>
            </w:r>
          </w:p>
        </w:tc>
        <w:tc>
          <w:tcPr>
            <w:tcW w:w="1558" w:type="dxa"/>
            <w:tcBorders>
              <w:top w:val="nil"/>
              <w:bottom w:val="nil"/>
            </w:tcBorders>
            <w:shd w:val="clear" w:color="auto" w:fill="FBD4B4" w:themeFill="accent6" w:themeFillTint="66"/>
          </w:tcPr>
          <w:p w:rsidR="008A180B" w:rsidRPr="00EF683B" w:rsidRDefault="008A180B" w:rsidP="008A180B">
            <w:pPr>
              <w:pStyle w:val="Tabellinnehllvnster"/>
              <w:tabs>
                <w:tab w:val="left" w:pos="176"/>
              </w:tabs>
              <w:ind w:left="176"/>
              <w:rPr>
                <w:rFonts w:eastAsia="Times New Roman"/>
                <w:b/>
                <w:lang w:val="sv-SE"/>
              </w:rPr>
            </w:pPr>
            <w:r>
              <w:rPr>
                <w:rFonts w:eastAsia="Times New Roman"/>
                <w:b/>
                <w:lang w:val="sv-SE"/>
              </w:rPr>
              <w:t>-</w:t>
            </w:r>
          </w:p>
        </w:tc>
        <w:tc>
          <w:tcPr>
            <w:tcW w:w="1416" w:type="dxa"/>
            <w:tcBorders>
              <w:top w:val="nil"/>
              <w:bottom w:val="nil"/>
            </w:tcBorders>
            <w:shd w:val="clear" w:color="auto" w:fill="FBD4B4" w:themeFill="accent6" w:themeFillTint="66"/>
          </w:tcPr>
          <w:p w:rsidR="008A180B" w:rsidRPr="00EF683B" w:rsidRDefault="008A180B" w:rsidP="008A180B">
            <w:pPr>
              <w:pStyle w:val="Tabellinnehllvnster"/>
              <w:tabs>
                <w:tab w:val="left" w:pos="176"/>
              </w:tabs>
              <w:ind w:left="176"/>
              <w:rPr>
                <w:rFonts w:eastAsia="Times New Roman"/>
                <w:b/>
                <w:lang w:val="sv-SE"/>
              </w:rPr>
            </w:pPr>
            <w:r w:rsidRPr="00EF683B">
              <w:rPr>
                <w:rFonts w:eastAsia="Times New Roman"/>
                <w:b/>
                <w:lang w:val="sv-SE"/>
              </w:rPr>
              <w:t>9 maj–11 maj</w:t>
            </w:r>
          </w:p>
        </w:tc>
        <w:tc>
          <w:tcPr>
            <w:tcW w:w="1838" w:type="dxa"/>
            <w:tcBorders>
              <w:top w:val="nil"/>
              <w:bottom w:val="nil"/>
            </w:tcBorders>
            <w:shd w:val="clear" w:color="auto" w:fill="FBD4B4" w:themeFill="accent6" w:themeFillTint="66"/>
          </w:tcPr>
          <w:p w:rsidR="008A180B" w:rsidRPr="00EF683B" w:rsidRDefault="008A180B" w:rsidP="008A180B">
            <w:pPr>
              <w:pStyle w:val="Tabellinnehllvnster"/>
              <w:tabs>
                <w:tab w:val="left" w:pos="176"/>
              </w:tabs>
              <w:ind w:left="176"/>
              <w:rPr>
                <w:rFonts w:eastAsia="Times New Roman"/>
                <w:b/>
                <w:lang w:val="sv-SE"/>
              </w:rPr>
            </w:pPr>
            <w:r w:rsidRPr="00EF683B">
              <w:rPr>
                <w:rFonts w:eastAsia="Times New Roman"/>
                <w:b/>
                <w:lang w:val="sv-SE"/>
              </w:rPr>
              <w:t>ca 800</w:t>
            </w:r>
          </w:p>
        </w:tc>
        <w:tc>
          <w:tcPr>
            <w:tcW w:w="1151" w:type="dxa"/>
            <w:tcBorders>
              <w:top w:val="nil"/>
              <w:bottom w:val="nil"/>
            </w:tcBorders>
            <w:shd w:val="clear" w:color="auto" w:fill="FBD4B4" w:themeFill="accent6" w:themeFillTint="66"/>
          </w:tcPr>
          <w:p w:rsidR="008A180B" w:rsidRPr="00EF683B" w:rsidRDefault="008A180B" w:rsidP="008A180B">
            <w:pPr>
              <w:pStyle w:val="Tabellinnehllvnster"/>
              <w:tabs>
                <w:tab w:val="left" w:pos="176"/>
              </w:tabs>
              <w:ind w:left="176"/>
              <w:rPr>
                <w:rFonts w:eastAsia="Times New Roman"/>
                <w:b/>
                <w:lang w:val="sv-SE"/>
              </w:rPr>
            </w:pPr>
            <w:r w:rsidRPr="00EF683B">
              <w:rPr>
                <w:rFonts w:eastAsia="Times New Roman"/>
                <w:b/>
                <w:lang w:val="sv-SE"/>
              </w:rPr>
              <w:t>11 maj</w:t>
            </w:r>
          </w:p>
        </w:tc>
      </w:tr>
      <w:tr w:rsidR="008A180B" w:rsidRPr="00EF683B" w:rsidTr="008A180B">
        <w:tc>
          <w:tcPr>
            <w:tcW w:w="3400" w:type="dxa"/>
            <w:tcBorders>
              <w:top w:val="nil"/>
              <w:left w:val="single" w:sz="4" w:space="0" w:color="auto"/>
              <w:bottom w:val="nil"/>
            </w:tcBorders>
            <w:shd w:val="clear" w:color="auto" w:fill="auto"/>
          </w:tcPr>
          <w:p w:rsidR="008A180B" w:rsidRPr="00EF683B" w:rsidRDefault="008A180B" w:rsidP="008A180B">
            <w:pPr>
              <w:pStyle w:val="Tabellinnehllvnster"/>
              <w:tabs>
                <w:tab w:val="left" w:pos="176"/>
              </w:tabs>
              <w:ind w:left="176"/>
              <w:rPr>
                <w:rFonts w:eastAsia="Times New Roman"/>
                <w:b/>
                <w:lang w:val="sv-SE"/>
              </w:rPr>
            </w:pPr>
            <w:r w:rsidRPr="00EF683B">
              <w:rPr>
                <w:rFonts w:eastAsia="Times New Roman"/>
                <w:b/>
                <w:lang w:val="sv-SE"/>
              </w:rPr>
              <w:t>15. Svensk Elitfotboll (Arbetsgivaralliansen) ./.</w:t>
            </w:r>
            <w:r w:rsidRPr="00EF683B">
              <w:rPr>
                <w:rFonts w:eastAsia="Times New Roman"/>
                <w:b/>
                <w:lang w:val="sv-SE"/>
              </w:rPr>
              <w:br/>
              <w:t>Spelarföreningen Fotboll i Sverige</w:t>
            </w:r>
          </w:p>
        </w:tc>
        <w:tc>
          <w:tcPr>
            <w:tcW w:w="2406" w:type="dxa"/>
            <w:tcBorders>
              <w:top w:val="nil"/>
              <w:bottom w:val="nil"/>
            </w:tcBorders>
            <w:shd w:val="clear" w:color="auto" w:fill="auto"/>
          </w:tcPr>
          <w:p w:rsidR="008A180B" w:rsidRPr="00EF683B" w:rsidRDefault="008A180B" w:rsidP="008A180B">
            <w:pPr>
              <w:pStyle w:val="Tabellinnehllvnster"/>
              <w:tabs>
                <w:tab w:val="left" w:pos="176"/>
              </w:tabs>
              <w:ind w:left="176"/>
              <w:rPr>
                <w:rFonts w:eastAsia="Times New Roman"/>
                <w:b/>
                <w:lang w:val="sv-SE"/>
              </w:rPr>
            </w:pPr>
            <w:r w:rsidRPr="00EF683B">
              <w:rPr>
                <w:rFonts w:eastAsia="Times New Roman"/>
                <w:b/>
                <w:lang w:val="sv-SE"/>
              </w:rPr>
              <w:t>Christina Nygårdh</w:t>
            </w:r>
            <w:r w:rsidRPr="00EF683B">
              <w:rPr>
                <w:rFonts w:eastAsia="Times New Roman"/>
                <w:b/>
                <w:lang w:val="sv-SE"/>
              </w:rPr>
              <w:br/>
              <w:t>Anders Tiderman</w:t>
            </w:r>
          </w:p>
        </w:tc>
        <w:tc>
          <w:tcPr>
            <w:tcW w:w="2265" w:type="dxa"/>
            <w:tcBorders>
              <w:top w:val="nil"/>
              <w:bottom w:val="nil"/>
            </w:tcBorders>
            <w:shd w:val="clear" w:color="auto" w:fill="auto"/>
          </w:tcPr>
          <w:p w:rsidR="008A180B" w:rsidRPr="00EF683B" w:rsidRDefault="008A180B" w:rsidP="008A180B">
            <w:pPr>
              <w:pStyle w:val="Tabellinnehllvnster"/>
              <w:tabs>
                <w:tab w:val="left" w:pos="176"/>
              </w:tabs>
              <w:ind w:left="176"/>
              <w:rPr>
                <w:rFonts w:eastAsia="Times New Roman"/>
                <w:b/>
                <w:lang w:val="sv-SE"/>
              </w:rPr>
            </w:pPr>
            <w:r w:rsidRPr="00EF683B">
              <w:rPr>
                <w:rFonts w:eastAsia="Times New Roman"/>
                <w:b/>
                <w:lang w:val="sv-SE"/>
              </w:rPr>
              <w:t>Elitfotboll</w:t>
            </w:r>
          </w:p>
        </w:tc>
        <w:tc>
          <w:tcPr>
            <w:tcW w:w="1417" w:type="dxa"/>
            <w:tcBorders>
              <w:top w:val="nil"/>
              <w:bottom w:val="nil"/>
            </w:tcBorders>
            <w:shd w:val="clear" w:color="auto" w:fill="auto"/>
          </w:tcPr>
          <w:p w:rsidR="008A180B" w:rsidRPr="00EF683B" w:rsidRDefault="008A180B" w:rsidP="008A180B">
            <w:pPr>
              <w:pStyle w:val="Tabellinnehllvnster"/>
              <w:tabs>
                <w:tab w:val="left" w:pos="176"/>
              </w:tabs>
              <w:ind w:left="176"/>
              <w:rPr>
                <w:rFonts w:eastAsia="Times New Roman"/>
                <w:b/>
                <w:lang w:val="sv-SE"/>
              </w:rPr>
            </w:pPr>
            <w:r>
              <w:rPr>
                <w:rFonts w:eastAsia="Times New Roman"/>
                <w:b/>
                <w:lang w:val="sv-SE"/>
              </w:rPr>
              <w:t>J</w:t>
            </w:r>
            <w:r w:rsidRPr="00EF683B">
              <w:rPr>
                <w:rFonts w:eastAsia="Times New Roman"/>
                <w:b/>
                <w:lang w:val="sv-SE"/>
              </w:rPr>
              <w:t>a</w:t>
            </w:r>
          </w:p>
        </w:tc>
        <w:tc>
          <w:tcPr>
            <w:tcW w:w="1558" w:type="dxa"/>
            <w:tcBorders>
              <w:top w:val="nil"/>
              <w:bottom w:val="nil"/>
            </w:tcBorders>
          </w:tcPr>
          <w:p w:rsidR="008A180B" w:rsidRPr="00EF683B" w:rsidRDefault="008A180B" w:rsidP="008A180B">
            <w:pPr>
              <w:pStyle w:val="Tabellinnehllvnster"/>
              <w:tabs>
                <w:tab w:val="left" w:pos="176"/>
              </w:tabs>
              <w:ind w:left="176"/>
              <w:rPr>
                <w:rFonts w:eastAsia="Times New Roman"/>
                <w:b/>
                <w:lang w:val="sv-SE"/>
              </w:rPr>
            </w:pPr>
            <w:r>
              <w:rPr>
                <w:rFonts w:eastAsia="Times New Roman"/>
                <w:b/>
                <w:lang w:val="sv-SE"/>
              </w:rPr>
              <w:t>-</w:t>
            </w:r>
          </w:p>
        </w:tc>
        <w:tc>
          <w:tcPr>
            <w:tcW w:w="1416" w:type="dxa"/>
            <w:tcBorders>
              <w:top w:val="nil"/>
              <w:bottom w:val="nil"/>
            </w:tcBorders>
            <w:shd w:val="clear" w:color="auto" w:fill="auto"/>
          </w:tcPr>
          <w:p w:rsidR="008A180B" w:rsidRPr="00EF683B" w:rsidRDefault="008A180B" w:rsidP="008A180B">
            <w:pPr>
              <w:pStyle w:val="Tabellinnehllvnster"/>
              <w:tabs>
                <w:tab w:val="left" w:pos="176"/>
              </w:tabs>
              <w:ind w:left="176"/>
              <w:rPr>
                <w:rFonts w:eastAsia="Times New Roman"/>
                <w:b/>
                <w:lang w:val="sv-SE"/>
              </w:rPr>
            </w:pPr>
            <w:r w:rsidRPr="00EF683B">
              <w:rPr>
                <w:rFonts w:eastAsia="Times New Roman"/>
                <w:b/>
                <w:lang w:val="sv-SE"/>
              </w:rPr>
              <w:t>-</w:t>
            </w:r>
          </w:p>
        </w:tc>
        <w:tc>
          <w:tcPr>
            <w:tcW w:w="1838" w:type="dxa"/>
            <w:tcBorders>
              <w:top w:val="nil"/>
              <w:bottom w:val="nil"/>
            </w:tcBorders>
            <w:shd w:val="clear" w:color="auto" w:fill="auto"/>
          </w:tcPr>
          <w:p w:rsidR="008A180B" w:rsidRPr="00EF683B" w:rsidRDefault="008A180B" w:rsidP="008A180B">
            <w:pPr>
              <w:pStyle w:val="Tabellinnehllvnster"/>
              <w:tabs>
                <w:tab w:val="left" w:pos="176"/>
              </w:tabs>
              <w:ind w:left="176"/>
              <w:rPr>
                <w:rFonts w:eastAsia="Times New Roman"/>
                <w:b/>
                <w:lang w:val="sv-SE"/>
              </w:rPr>
            </w:pPr>
            <w:r w:rsidRPr="00EF683B">
              <w:rPr>
                <w:rFonts w:eastAsia="Times New Roman"/>
                <w:b/>
                <w:lang w:val="sv-SE"/>
              </w:rPr>
              <w:t>-</w:t>
            </w:r>
          </w:p>
        </w:tc>
        <w:tc>
          <w:tcPr>
            <w:tcW w:w="1151" w:type="dxa"/>
            <w:tcBorders>
              <w:top w:val="nil"/>
              <w:bottom w:val="nil"/>
            </w:tcBorders>
            <w:shd w:val="clear" w:color="auto" w:fill="auto"/>
          </w:tcPr>
          <w:p w:rsidR="008A180B" w:rsidRPr="00EF683B" w:rsidRDefault="008A180B" w:rsidP="008A180B">
            <w:pPr>
              <w:pStyle w:val="Tabellinnehllvnster"/>
              <w:tabs>
                <w:tab w:val="left" w:pos="176"/>
              </w:tabs>
              <w:ind w:left="176"/>
              <w:rPr>
                <w:rFonts w:eastAsia="Times New Roman"/>
                <w:b/>
                <w:lang w:val="sv-SE"/>
              </w:rPr>
            </w:pPr>
            <w:r w:rsidRPr="00EF683B">
              <w:rPr>
                <w:rFonts w:eastAsia="Times New Roman"/>
                <w:b/>
                <w:lang w:val="sv-SE"/>
              </w:rPr>
              <w:t>11 maj</w:t>
            </w:r>
          </w:p>
        </w:tc>
      </w:tr>
      <w:tr w:rsidR="008A180B" w:rsidRPr="00EF683B" w:rsidTr="008A180B">
        <w:tc>
          <w:tcPr>
            <w:tcW w:w="3400" w:type="dxa"/>
            <w:tcBorders>
              <w:top w:val="nil"/>
              <w:left w:val="single" w:sz="4" w:space="0" w:color="auto"/>
              <w:bottom w:val="nil"/>
            </w:tcBorders>
            <w:shd w:val="clear" w:color="auto" w:fill="FBD4B4" w:themeFill="accent6" w:themeFillTint="66"/>
          </w:tcPr>
          <w:p w:rsidR="008A180B" w:rsidRPr="00EF683B" w:rsidRDefault="008A180B" w:rsidP="008A180B">
            <w:pPr>
              <w:pStyle w:val="Tabellinnehllvnster"/>
              <w:tabs>
                <w:tab w:val="left" w:pos="176"/>
              </w:tabs>
              <w:ind w:left="176"/>
              <w:rPr>
                <w:rFonts w:eastAsia="Times New Roman"/>
                <w:b/>
                <w:lang w:val="sv-SE"/>
              </w:rPr>
            </w:pPr>
            <w:r w:rsidRPr="00EF683B">
              <w:rPr>
                <w:rFonts w:eastAsia="Times New Roman"/>
                <w:b/>
                <w:lang w:val="sv-SE"/>
              </w:rPr>
              <w:t>16. Almega Tjänsteförbunden/Svenska Teknik och Designföretagen ./.</w:t>
            </w:r>
            <w:r w:rsidRPr="00EF683B">
              <w:rPr>
                <w:rFonts w:eastAsia="Times New Roman"/>
                <w:b/>
                <w:lang w:val="sv-SE"/>
              </w:rPr>
              <w:br/>
              <w:t>Unionen, Sveriges Ingenjörer, Sveriges Arkitekter</w:t>
            </w:r>
          </w:p>
        </w:tc>
        <w:tc>
          <w:tcPr>
            <w:tcW w:w="2406" w:type="dxa"/>
            <w:tcBorders>
              <w:top w:val="nil"/>
              <w:bottom w:val="nil"/>
            </w:tcBorders>
            <w:shd w:val="clear" w:color="auto" w:fill="FBD4B4" w:themeFill="accent6" w:themeFillTint="66"/>
          </w:tcPr>
          <w:p w:rsidR="008A180B" w:rsidRPr="00EF683B" w:rsidRDefault="008A180B" w:rsidP="008A180B">
            <w:pPr>
              <w:pStyle w:val="Tabellinnehllvnster"/>
              <w:tabs>
                <w:tab w:val="left" w:pos="176"/>
              </w:tabs>
              <w:ind w:left="176"/>
              <w:rPr>
                <w:rFonts w:eastAsia="Times New Roman"/>
                <w:b/>
                <w:lang w:val="sv-SE"/>
              </w:rPr>
            </w:pPr>
            <w:r w:rsidRPr="00EF683B">
              <w:rPr>
                <w:rFonts w:eastAsia="Times New Roman"/>
                <w:b/>
                <w:lang w:val="sv-SE"/>
              </w:rPr>
              <w:t>Inger Örtendahl</w:t>
            </w:r>
            <w:r w:rsidRPr="00EF683B">
              <w:rPr>
                <w:rFonts w:eastAsia="Times New Roman"/>
                <w:b/>
                <w:lang w:val="sv-SE"/>
              </w:rPr>
              <w:br/>
              <w:t>Karl-Olof Stenqvist</w:t>
            </w:r>
          </w:p>
        </w:tc>
        <w:tc>
          <w:tcPr>
            <w:tcW w:w="2265" w:type="dxa"/>
            <w:tcBorders>
              <w:top w:val="nil"/>
              <w:bottom w:val="nil"/>
            </w:tcBorders>
            <w:shd w:val="clear" w:color="auto" w:fill="FBD4B4" w:themeFill="accent6" w:themeFillTint="66"/>
          </w:tcPr>
          <w:p w:rsidR="008A180B" w:rsidRPr="00EF683B" w:rsidRDefault="008A180B" w:rsidP="008A180B">
            <w:pPr>
              <w:pStyle w:val="Tabellinnehllvnster"/>
              <w:tabs>
                <w:tab w:val="left" w:pos="176"/>
              </w:tabs>
              <w:ind w:left="176"/>
              <w:rPr>
                <w:rFonts w:eastAsia="Times New Roman"/>
                <w:b/>
                <w:lang w:val="sv-SE"/>
              </w:rPr>
            </w:pPr>
            <w:r w:rsidRPr="00EF683B">
              <w:rPr>
                <w:rFonts w:eastAsia="Times New Roman"/>
                <w:b/>
                <w:lang w:val="sv-SE"/>
              </w:rPr>
              <w:t>STD-avtalet</w:t>
            </w:r>
          </w:p>
        </w:tc>
        <w:tc>
          <w:tcPr>
            <w:tcW w:w="1417" w:type="dxa"/>
            <w:tcBorders>
              <w:top w:val="nil"/>
              <w:bottom w:val="nil"/>
            </w:tcBorders>
            <w:shd w:val="clear" w:color="auto" w:fill="FBD4B4" w:themeFill="accent6" w:themeFillTint="66"/>
          </w:tcPr>
          <w:p w:rsidR="008A180B" w:rsidRPr="00EF683B" w:rsidRDefault="008A180B" w:rsidP="008A180B">
            <w:pPr>
              <w:pStyle w:val="Tabellinnehllvnster"/>
              <w:tabs>
                <w:tab w:val="left" w:pos="176"/>
              </w:tabs>
              <w:ind w:left="176"/>
              <w:rPr>
                <w:rFonts w:eastAsia="Times New Roman"/>
                <w:b/>
                <w:lang w:val="sv-SE"/>
              </w:rPr>
            </w:pPr>
            <w:r>
              <w:rPr>
                <w:rFonts w:eastAsia="Times New Roman"/>
                <w:b/>
                <w:lang w:val="sv-SE"/>
              </w:rPr>
              <w:t>N</w:t>
            </w:r>
            <w:r w:rsidRPr="00EF683B">
              <w:rPr>
                <w:rFonts w:eastAsia="Times New Roman"/>
                <w:b/>
                <w:lang w:val="sv-SE"/>
              </w:rPr>
              <w:t>ej</w:t>
            </w:r>
          </w:p>
        </w:tc>
        <w:tc>
          <w:tcPr>
            <w:tcW w:w="1558" w:type="dxa"/>
            <w:tcBorders>
              <w:top w:val="nil"/>
              <w:bottom w:val="nil"/>
            </w:tcBorders>
            <w:shd w:val="clear" w:color="auto" w:fill="FBD4B4" w:themeFill="accent6" w:themeFillTint="66"/>
          </w:tcPr>
          <w:p w:rsidR="008A180B" w:rsidRPr="00EF683B" w:rsidRDefault="008A180B" w:rsidP="008A180B">
            <w:pPr>
              <w:pStyle w:val="Tabellinnehllvnster"/>
              <w:tabs>
                <w:tab w:val="left" w:pos="176"/>
              </w:tabs>
              <w:ind w:left="176"/>
              <w:rPr>
                <w:rFonts w:eastAsia="Times New Roman"/>
                <w:b/>
                <w:lang w:val="sv-SE"/>
              </w:rPr>
            </w:pPr>
            <w:r>
              <w:rPr>
                <w:rFonts w:eastAsia="Times New Roman"/>
                <w:b/>
                <w:lang w:val="sv-SE"/>
              </w:rPr>
              <w:t>-</w:t>
            </w:r>
          </w:p>
        </w:tc>
        <w:tc>
          <w:tcPr>
            <w:tcW w:w="1416" w:type="dxa"/>
            <w:tcBorders>
              <w:top w:val="nil"/>
              <w:bottom w:val="nil"/>
            </w:tcBorders>
            <w:shd w:val="clear" w:color="auto" w:fill="FBD4B4" w:themeFill="accent6" w:themeFillTint="66"/>
          </w:tcPr>
          <w:p w:rsidR="008A180B" w:rsidRPr="00EF683B" w:rsidRDefault="008A180B" w:rsidP="008A180B">
            <w:pPr>
              <w:pStyle w:val="Tabellinnehllvnster"/>
              <w:tabs>
                <w:tab w:val="left" w:pos="176"/>
              </w:tabs>
              <w:ind w:left="176"/>
              <w:rPr>
                <w:rFonts w:eastAsia="Times New Roman"/>
                <w:b/>
                <w:lang w:val="sv-SE"/>
              </w:rPr>
            </w:pPr>
            <w:r w:rsidRPr="00EF683B">
              <w:rPr>
                <w:rFonts w:eastAsia="Times New Roman"/>
                <w:b/>
                <w:lang w:val="sv-SE"/>
              </w:rPr>
              <w:t>-</w:t>
            </w:r>
          </w:p>
        </w:tc>
        <w:tc>
          <w:tcPr>
            <w:tcW w:w="1838" w:type="dxa"/>
            <w:tcBorders>
              <w:top w:val="nil"/>
              <w:bottom w:val="nil"/>
            </w:tcBorders>
            <w:shd w:val="clear" w:color="auto" w:fill="FBD4B4" w:themeFill="accent6" w:themeFillTint="66"/>
          </w:tcPr>
          <w:p w:rsidR="008A180B" w:rsidRPr="00EF683B" w:rsidRDefault="008A180B" w:rsidP="008A180B">
            <w:pPr>
              <w:pStyle w:val="Tabellinnehllvnster"/>
              <w:tabs>
                <w:tab w:val="left" w:pos="176"/>
              </w:tabs>
              <w:ind w:left="176"/>
              <w:rPr>
                <w:rFonts w:eastAsia="Times New Roman"/>
                <w:b/>
                <w:lang w:val="sv-SE"/>
              </w:rPr>
            </w:pPr>
            <w:r w:rsidRPr="00EF683B">
              <w:rPr>
                <w:rFonts w:eastAsia="Times New Roman"/>
                <w:b/>
                <w:lang w:val="sv-SE"/>
              </w:rPr>
              <w:t>-</w:t>
            </w:r>
          </w:p>
        </w:tc>
        <w:tc>
          <w:tcPr>
            <w:tcW w:w="1151" w:type="dxa"/>
            <w:tcBorders>
              <w:top w:val="nil"/>
              <w:bottom w:val="nil"/>
            </w:tcBorders>
            <w:shd w:val="clear" w:color="auto" w:fill="FBD4B4" w:themeFill="accent6" w:themeFillTint="66"/>
          </w:tcPr>
          <w:p w:rsidR="008A180B" w:rsidRPr="00EF683B" w:rsidRDefault="008A180B" w:rsidP="008A180B">
            <w:pPr>
              <w:pStyle w:val="Tabellinnehllvnster"/>
              <w:tabs>
                <w:tab w:val="left" w:pos="176"/>
              </w:tabs>
              <w:ind w:left="176"/>
              <w:rPr>
                <w:rFonts w:eastAsia="Times New Roman"/>
                <w:b/>
                <w:lang w:val="sv-SE"/>
              </w:rPr>
            </w:pPr>
            <w:r w:rsidRPr="00EF683B">
              <w:rPr>
                <w:rFonts w:eastAsia="Times New Roman"/>
                <w:b/>
                <w:lang w:val="sv-SE"/>
              </w:rPr>
              <w:t>11maj</w:t>
            </w:r>
          </w:p>
        </w:tc>
      </w:tr>
      <w:tr w:rsidR="008A180B" w:rsidRPr="00EF683B" w:rsidTr="008A180B">
        <w:tc>
          <w:tcPr>
            <w:tcW w:w="3400" w:type="dxa"/>
            <w:tcBorders>
              <w:top w:val="nil"/>
              <w:left w:val="single" w:sz="4" w:space="0" w:color="auto"/>
              <w:bottom w:val="nil"/>
            </w:tcBorders>
            <w:shd w:val="clear" w:color="auto" w:fill="auto"/>
          </w:tcPr>
          <w:p w:rsidR="008A180B" w:rsidRPr="00EF683B" w:rsidRDefault="008A180B" w:rsidP="008A180B">
            <w:pPr>
              <w:pStyle w:val="Tabellinnehllvnster"/>
              <w:tabs>
                <w:tab w:val="left" w:pos="176"/>
              </w:tabs>
              <w:ind w:left="176"/>
              <w:rPr>
                <w:rFonts w:eastAsia="Times New Roman"/>
                <w:b/>
                <w:lang w:val="sv-SE"/>
              </w:rPr>
            </w:pPr>
            <w:r w:rsidRPr="00EF683B">
              <w:rPr>
                <w:rFonts w:eastAsia="Times New Roman"/>
                <w:b/>
                <w:lang w:val="sv-SE"/>
              </w:rPr>
              <w:t xml:space="preserve">17. Medieföretagen ./. </w:t>
            </w:r>
            <w:r w:rsidRPr="00EF683B">
              <w:rPr>
                <w:rFonts w:eastAsia="Times New Roman"/>
                <w:b/>
                <w:lang w:val="sv-SE"/>
              </w:rPr>
              <w:br/>
              <w:t>Unionen</w:t>
            </w:r>
          </w:p>
        </w:tc>
        <w:tc>
          <w:tcPr>
            <w:tcW w:w="2406" w:type="dxa"/>
            <w:tcBorders>
              <w:top w:val="nil"/>
              <w:bottom w:val="nil"/>
            </w:tcBorders>
            <w:shd w:val="clear" w:color="auto" w:fill="auto"/>
          </w:tcPr>
          <w:p w:rsidR="008A180B" w:rsidRPr="00EF683B" w:rsidRDefault="008A180B" w:rsidP="008A180B">
            <w:pPr>
              <w:pStyle w:val="Tabellinnehllvnster"/>
              <w:tabs>
                <w:tab w:val="left" w:pos="176"/>
              </w:tabs>
              <w:ind w:left="176"/>
              <w:rPr>
                <w:rFonts w:eastAsia="Times New Roman"/>
                <w:b/>
                <w:lang w:val="sv-SE"/>
              </w:rPr>
            </w:pPr>
            <w:r w:rsidRPr="00EF683B">
              <w:rPr>
                <w:rFonts w:eastAsia="Times New Roman"/>
                <w:b/>
                <w:lang w:val="sv-SE"/>
              </w:rPr>
              <w:t>Gunilla Runnquist</w:t>
            </w:r>
            <w:r w:rsidRPr="00EF683B">
              <w:rPr>
                <w:rFonts w:eastAsia="Times New Roman"/>
                <w:b/>
                <w:lang w:val="sv-SE"/>
              </w:rPr>
              <w:br/>
              <w:t>Leif Ohlson</w:t>
            </w:r>
          </w:p>
        </w:tc>
        <w:tc>
          <w:tcPr>
            <w:tcW w:w="2265" w:type="dxa"/>
            <w:tcBorders>
              <w:top w:val="nil"/>
              <w:bottom w:val="nil"/>
            </w:tcBorders>
            <w:shd w:val="clear" w:color="auto" w:fill="auto"/>
          </w:tcPr>
          <w:p w:rsidR="008A180B" w:rsidRPr="00EF683B" w:rsidRDefault="008A180B" w:rsidP="008A180B">
            <w:pPr>
              <w:pStyle w:val="Tabellinnehllvnster"/>
              <w:tabs>
                <w:tab w:val="left" w:pos="176"/>
              </w:tabs>
              <w:ind w:left="176"/>
              <w:rPr>
                <w:rFonts w:eastAsia="Times New Roman"/>
                <w:b/>
                <w:lang w:val="sv-SE"/>
              </w:rPr>
            </w:pPr>
            <w:r w:rsidRPr="00EF683B">
              <w:rPr>
                <w:rFonts w:eastAsia="Times New Roman"/>
                <w:b/>
                <w:lang w:val="sv-SE"/>
              </w:rPr>
              <w:t>Public Service-området</w:t>
            </w:r>
          </w:p>
        </w:tc>
        <w:tc>
          <w:tcPr>
            <w:tcW w:w="1417" w:type="dxa"/>
            <w:tcBorders>
              <w:top w:val="nil"/>
              <w:bottom w:val="nil"/>
            </w:tcBorders>
            <w:shd w:val="clear" w:color="auto" w:fill="auto"/>
          </w:tcPr>
          <w:p w:rsidR="008A180B" w:rsidRPr="00EF683B" w:rsidRDefault="008A180B" w:rsidP="008A180B">
            <w:pPr>
              <w:pStyle w:val="Tabellinnehllvnster"/>
              <w:tabs>
                <w:tab w:val="left" w:pos="176"/>
              </w:tabs>
              <w:ind w:left="176"/>
              <w:rPr>
                <w:rFonts w:eastAsia="Times New Roman"/>
                <w:b/>
                <w:lang w:val="sv-SE"/>
              </w:rPr>
            </w:pPr>
            <w:r w:rsidRPr="00EF683B">
              <w:rPr>
                <w:rFonts w:eastAsia="Times New Roman"/>
                <w:b/>
                <w:lang w:val="sv-SE"/>
              </w:rPr>
              <w:t>Ja</w:t>
            </w:r>
          </w:p>
        </w:tc>
        <w:tc>
          <w:tcPr>
            <w:tcW w:w="1558" w:type="dxa"/>
            <w:tcBorders>
              <w:top w:val="nil"/>
              <w:bottom w:val="nil"/>
            </w:tcBorders>
          </w:tcPr>
          <w:p w:rsidR="008A180B" w:rsidRPr="00EF683B" w:rsidRDefault="008A180B" w:rsidP="008A180B">
            <w:pPr>
              <w:pStyle w:val="Tabellinnehllvnster"/>
              <w:tabs>
                <w:tab w:val="left" w:pos="176"/>
              </w:tabs>
              <w:ind w:left="176"/>
              <w:rPr>
                <w:rFonts w:eastAsia="Times New Roman"/>
                <w:b/>
                <w:lang w:val="sv-SE"/>
              </w:rPr>
            </w:pPr>
            <w:r>
              <w:rPr>
                <w:rFonts w:eastAsia="Times New Roman"/>
                <w:b/>
                <w:lang w:val="sv-SE"/>
              </w:rPr>
              <w:t>-</w:t>
            </w:r>
          </w:p>
        </w:tc>
        <w:tc>
          <w:tcPr>
            <w:tcW w:w="1416" w:type="dxa"/>
            <w:tcBorders>
              <w:top w:val="nil"/>
              <w:bottom w:val="nil"/>
            </w:tcBorders>
            <w:shd w:val="clear" w:color="auto" w:fill="auto"/>
          </w:tcPr>
          <w:p w:rsidR="008A180B" w:rsidRPr="00EF683B" w:rsidRDefault="008A180B" w:rsidP="008A180B">
            <w:pPr>
              <w:pStyle w:val="Tabellinnehllvnster"/>
              <w:tabs>
                <w:tab w:val="left" w:pos="176"/>
              </w:tabs>
              <w:ind w:left="176"/>
              <w:rPr>
                <w:rFonts w:eastAsia="Times New Roman"/>
                <w:b/>
                <w:lang w:val="sv-SE"/>
              </w:rPr>
            </w:pPr>
            <w:r w:rsidRPr="00EF683B">
              <w:rPr>
                <w:rFonts w:eastAsia="Times New Roman"/>
                <w:b/>
                <w:lang w:val="sv-SE"/>
              </w:rPr>
              <w:t>-</w:t>
            </w:r>
          </w:p>
        </w:tc>
        <w:tc>
          <w:tcPr>
            <w:tcW w:w="1838" w:type="dxa"/>
            <w:tcBorders>
              <w:top w:val="nil"/>
              <w:bottom w:val="nil"/>
            </w:tcBorders>
            <w:shd w:val="clear" w:color="auto" w:fill="auto"/>
          </w:tcPr>
          <w:p w:rsidR="008A180B" w:rsidRPr="00EF683B" w:rsidRDefault="008A180B" w:rsidP="008A180B">
            <w:pPr>
              <w:pStyle w:val="Tabellinnehllvnster"/>
              <w:tabs>
                <w:tab w:val="left" w:pos="176"/>
              </w:tabs>
              <w:ind w:left="176"/>
              <w:rPr>
                <w:rFonts w:eastAsia="Times New Roman"/>
                <w:b/>
                <w:lang w:val="sv-SE"/>
              </w:rPr>
            </w:pPr>
            <w:r w:rsidRPr="00EF683B">
              <w:rPr>
                <w:rFonts w:eastAsia="Times New Roman"/>
                <w:b/>
                <w:lang w:val="sv-SE"/>
              </w:rPr>
              <w:t>-</w:t>
            </w:r>
          </w:p>
        </w:tc>
        <w:tc>
          <w:tcPr>
            <w:tcW w:w="1151" w:type="dxa"/>
            <w:tcBorders>
              <w:top w:val="nil"/>
              <w:bottom w:val="nil"/>
            </w:tcBorders>
            <w:shd w:val="clear" w:color="auto" w:fill="auto"/>
          </w:tcPr>
          <w:p w:rsidR="008A180B" w:rsidRPr="00EF683B" w:rsidRDefault="008A180B" w:rsidP="008A180B">
            <w:pPr>
              <w:pStyle w:val="Tabellinnehllvnster"/>
              <w:tabs>
                <w:tab w:val="left" w:pos="176"/>
              </w:tabs>
              <w:ind w:left="176"/>
              <w:rPr>
                <w:rFonts w:eastAsia="Times New Roman"/>
                <w:b/>
                <w:lang w:val="sv-SE"/>
              </w:rPr>
            </w:pPr>
            <w:r w:rsidRPr="00EF683B">
              <w:rPr>
                <w:rFonts w:eastAsia="Times New Roman"/>
                <w:b/>
                <w:lang w:val="sv-SE"/>
              </w:rPr>
              <w:t>9 maj</w:t>
            </w:r>
          </w:p>
        </w:tc>
      </w:tr>
      <w:tr w:rsidR="008A180B" w:rsidRPr="00EF683B" w:rsidTr="008A180B">
        <w:tc>
          <w:tcPr>
            <w:tcW w:w="3400" w:type="dxa"/>
            <w:tcBorders>
              <w:top w:val="nil"/>
              <w:left w:val="single" w:sz="4" w:space="0" w:color="auto"/>
              <w:bottom w:val="nil"/>
            </w:tcBorders>
            <w:shd w:val="clear" w:color="auto" w:fill="FBD4B4" w:themeFill="accent6" w:themeFillTint="66"/>
          </w:tcPr>
          <w:p w:rsidR="008A180B" w:rsidRPr="00EF683B" w:rsidRDefault="008A180B" w:rsidP="008A180B">
            <w:pPr>
              <w:pStyle w:val="Tabellinnehllvnster"/>
              <w:tabs>
                <w:tab w:val="left" w:pos="176"/>
              </w:tabs>
              <w:ind w:left="176"/>
              <w:rPr>
                <w:rFonts w:eastAsia="Times New Roman"/>
                <w:b/>
                <w:lang w:val="sv-SE"/>
              </w:rPr>
            </w:pPr>
            <w:r w:rsidRPr="00EF683B">
              <w:rPr>
                <w:rFonts w:eastAsia="Times New Roman"/>
                <w:b/>
                <w:lang w:val="sv-SE"/>
              </w:rPr>
              <w:t>18. Frisörföretagarna./.</w:t>
            </w:r>
            <w:r w:rsidRPr="00EF683B">
              <w:rPr>
                <w:rFonts w:eastAsia="Times New Roman"/>
                <w:b/>
                <w:lang w:val="sv-SE"/>
              </w:rPr>
              <w:br/>
              <w:t>Handelsanställdas förbund</w:t>
            </w:r>
          </w:p>
        </w:tc>
        <w:tc>
          <w:tcPr>
            <w:tcW w:w="2406" w:type="dxa"/>
            <w:tcBorders>
              <w:top w:val="nil"/>
              <w:bottom w:val="nil"/>
            </w:tcBorders>
            <w:shd w:val="clear" w:color="auto" w:fill="FBD4B4" w:themeFill="accent6" w:themeFillTint="66"/>
          </w:tcPr>
          <w:p w:rsidR="008A180B" w:rsidRPr="00EF683B" w:rsidRDefault="008A180B" w:rsidP="008A180B">
            <w:pPr>
              <w:pStyle w:val="Tabellinnehllvnster"/>
              <w:tabs>
                <w:tab w:val="left" w:pos="176"/>
              </w:tabs>
              <w:ind w:left="176"/>
              <w:rPr>
                <w:rFonts w:eastAsia="Times New Roman"/>
                <w:b/>
                <w:lang w:val="sv-SE"/>
              </w:rPr>
            </w:pPr>
            <w:r w:rsidRPr="00EF683B">
              <w:rPr>
                <w:rFonts w:eastAsia="Times New Roman"/>
                <w:b/>
                <w:lang w:val="sv-SE"/>
              </w:rPr>
              <w:t>Peter Ander</w:t>
            </w:r>
            <w:r w:rsidRPr="00EF683B">
              <w:rPr>
                <w:rFonts w:eastAsia="Times New Roman"/>
                <w:b/>
                <w:lang w:val="sv-SE"/>
              </w:rPr>
              <w:br/>
              <w:t>Christina Nygårdh</w:t>
            </w:r>
          </w:p>
        </w:tc>
        <w:tc>
          <w:tcPr>
            <w:tcW w:w="2265" w:type="dxa"/>
            <w:tcBorders>
              <w:top w:val="nil"/>
              <w:bottom w:val="nil"/>
            </w:tcBorders>
            <w:shd w:val="clear" w:color="auto" w:fill="FBD4B4" w:themeFill="accent6" w:themeFillTint="66"/>
          </w:tcPr>
          <w:p w:rsidR="008A180B" w:rsidRPr="00EF683B" w:rsidRDefault="008A180B" w:rsidP="008A180B">
            <w:pPr>
              <w:pStyle w:val="Tabellinnehllvnster"/>
              <w:tabs>
                <w:tab w:val="left" w:pos="176"/>
              </w:tabs>
              <w:ind w:left="176"/>
              <w:rPr>
                <w:rFonts w:eastAsia="Times New Roman"/>
                <w:b/>
                <w:lang w:val="sv-SE"/>
              </w:rPr>
            </w:pPr>
            <w:r w:rsidRPr="00EF683B">
              <w:rPr>
                <w:rFonts w:eastAsia="Times New Roman"/>
                <w:b/>
                <w:lang w:val="sv-SE"/>
              </w:rPr>
              <w:t>Riksavtal för frisörbranschen</w:t>
            </w:r>
          </w:p>
        </w:tc>
        <w:tc>
          <w:tcPr>
            <w:tcW w:w="1417" w:type="dxa"/>
            <w:tcBorders>
              <w:top w:val="nil"/>
              <w:bottom w:val="nil"/>
            </w:tcBorders>
            <w:shd w:val="clear" w:color="auto" w:fill="FBD4B4" w:themeFill="accent6" w:themeFillTint="66"/>
          </w:tcPr>
          <w:p w:rsidR="008A180B" w:rsidRPr="00EF683B" w:rsidRDefault="008A180B" w:rsidP="008A180B">
            <w:pPr>
              <w:pStyle w:val="Tabellinnehllvnster"/>
              <w:tabs>
                <w:tab w:val="left" w:pos="176"/>
              </w:tabs>
              <w:ind w:left="176"/>
              <w:rPr>
                <w:rFonts w:eastAsia="Times New Roman"/>
                <w:b/>
                <w:lang w:val="sv-SE"/>
              </w:rPr>
            </w:pPr>
            <w:r>
              <w:rPr>
                <w:rFonts w:eastAsia="Times New Roman"/>
                <w:b/>
                <w:lang w:val="sv-SE"/>
              </w:rPr>
              <w:t>N</w:t>
            </w:r>
            <w:r w:rsidRPr="00EF683B">
              <w:rPr>
                <w:rFonts w:eastAsia="Times New Roman"/>
                <w:b/>
                <w:lang w:val="sv-SE"/>
              </w:rPr>
              <w:t>ej</w:t>
            </w:r>
          </w:p>
        </w:tc>
        <w:tc>
          <w:tcPr>
            <w:tcW w:w="1558" w:type="dxa"/>
            <w:tcBorders>
              <w:top w:val="nil"/>
              <w:bottom w:val="nil"/>
            </w:tcBorders>
            <w:shd w:val="clear" w:color="auto" w:fill="FBD4B4" w:themeFill="accent6" w:themeFillTint="66"/>
          </w:tcPr>
          <w:p w:rsidR="008A180B" w:rsidRPr="00EF683B" w:rsidRDefault="008A180B" w:rsidP="008A180B">
            <w:pPr>
              <w:pStyle w:val="Tabellinnehllvnster"/>
              <w:tabs>
                <w:tab w:val="left" w:pos="176"/>
              </w:tabs>
              <w:ind w:left="176"/>
              <w:rPr>
                <w:rFonts w:eastAsia="Times New Roman"/>
                <w:b/>
                <w:lang w:val="sv-SE"/>
              </w:rPr>
            </w:pPr>
            <w:r>
              <w:rPr>
                <w:rFonts w:eastAsia="Times New Roman"/>
                <w:b/>
                <w:lang w:val="sv-SE"/>
              </w:rPr>
              <w:t>-</w:t>
            </w:r>
          </w:p>
        </w:tc>
        <w:tc>
          <w:tcPr>
            <w:tcW w:w="1416" w:type="dxa"/>
            <w:tcBorders>
              <w:top w:val="nil"/>
              <w:bottom w:val="nil"/>
            </w:tcBorders>
            <w:shd w:val="clear" w:color="auto" w:fill="FBD4B4" w:themeFill="accent6" w:themeFillTint="66"/>
          </w:tcPr>
          <w:p w:rsidR="008A180B" w:rsidRPr="00EF683B" w:rsidRDefault="008A180B" w:rsidP="008A180B">
            <w:pPr>
              <w:pStyle w:val="Tabellinnehllvnster"/>
              <w:tabs>
                <w:tab w:val="left" w:pos="176"/>
              </w:tabs>
              <w:ind w:left="176"/>
              <w:rPr>
                <w:rFonts w:eastAsia="Times New Roman"/>
                <w:b/>
                <w:lang w:val="sv-SE"/>
              </w:rPr>
            </w:pPr>
            <w:r w:rsidRPr="00EF683B">
              <w:rPr>
                <w:rFonts w:eastAsia="Times New Roman"/>
                <w:b/>
                <w:lang w:val="sv-SE"/>
              </w:rPr>
              <w:t>-</w:t>
            </w:r>
          </w:p>
        </w:tc>
        <w:tc>
          <w:tcPr>
            <w:tcW w:w="1838" w:type="dxa"/>
            <w:tcBorders>
              <w:top w:val="nil"/>
              <w:bottom w:val="nil"/>
            </w:tcBorders>
            <w:shd w:val="clear" w:color="auto" w:fill="FBD4B4" w:themeFill="accent6" w:themeFillTint="66"/>
          </w:tcPr>
          <w:p w:rsidR="008A180B" w:rsidRPr="00EF683B" w:rsidRDefault="008A180B" w:rsidP="008A180B">
            <w:pPr>
              <w:pStyle w:val="Tabellinnehllvnster"/>
              <w:tabs>
                <w:tab w:val="left" w:pos="176"/>
              </w:tabs>
              <w:ind w:left="176"/>
              <w:rPr>
                <w:rFonts w:eastAsia="Times New Roman"/>
                <w:b/>
                <w:lang w:val="sv-SE"/>
              </w:rPr>
            </w:pPr>
            <w:r w:rsidRPr="00EF683B">
              <w:rPr>
                <w:rFonts w:eastAsia="Times New Roman"/>
                <w:b/>
                <w:lang w:val="sv-SE"/>
              </w:rPr>
              <w:t>-</w:t>
            </w:r>
          </w:p>
        </w:tc>
        <w:tc>
          <w:tcPr>
            <w:tcW w:w="1151" w:type="dxa"/>
            <w:tcBorders>
              <w:top w:val="nil"/>
              <w:bottom w:val="nil"/>
            </w:tcBorders>
            <w:shd w:val="clear" w:color="auto" w:fill="FBD4B4" w:themeFill="accent6" w:themeFillTint="66"/>
          </w:tcPr>
          <w:p w:rsidR="008A180B" w:rsidRPr="00EF683B" w:rsidRDefault="008A180B" w:rsidP="008A180B">
            <w:pPr>
              <w:pStyle w:val="Tabellinnehllvnster"/>
              <w:tabs>
                <w:tab w:val="left" w:pos="176"/>
              </w:tabs>
              <w:ind w:left="176"/>
              <w:rPr>
                <w:rFonts w:eastAsia="Times New Roman"/>
                <w:b/>
                <w:lang w:val="sv-SE"/>
              </w:rPr>
            </w:pPr>
            <w:r w:rsidRPr="00EF683B">
              <w:rPr>
                <w:rFonts w:eastAsia="Times New Roman"/>
                <w:b/>
                <w:lang w:val="sv-SE"/>
              </w:rPr>
              <w:t>14 juni</w:t>
            </w:r>
          </w:p>
        </w:tc>
      </w:tr>
      <w:tr w:rsidR="008A180B" w:rsidRPr="00EF683B" w:rsidTr="008A180B">
        <w:tc>
          <w:tcPr>
            <w:tcW w:w="3400" w:type="dxa"/>
            <w:tcBorders>
              <w:top w:val="nil"/>
              <w:left w:val="single" w:sz="4" w:space="0" w:color="auto"/>
              <w:bottom w:val="nil"/>
            </w:tcBorders>
            <w:shd w:val="clear" w:color="auto" w:fill="auto"/>
          </w:tcPr>
          <w:p w:rsidR="008A180B" w:rsidRPr="00EF683B" w:rsidRDefault="008A180B" w:rsidP="008A180B">
            <w:pPr>
              <w:pStyle w:val="Tabellinnehllvnster"/>
              <w:tabs>
                <w:tab w:val="left" w:pos="176"/>
              </w:tabs>
              <w:ind w:left="176"/>
              <w:rPr>
                <w:rFonts w:eastAsia="Times New Roman"/>
                <w:b/>
                <w:lang w:val="sv-SE"/>
              </w:rPr>
            </w:pPr>
            <w:r w:rsidRPr="00EF683B">
              <w:rPr>
                <w:rFonts w:eastAsia="Times New Roman"/>
                <w:b/>
                <w:lang w:val="sv-SE"/>
              </w:rPr>
              <w:t>19. Visita ./.</w:t>
            </w:r>
            <w:r w:rsidRPr="00EF683B">
              <w:rPr>
                <w:rFonts w:eastAsia="Times New Roman"/>
                <w:b/>
                <w:lang w:val="sv-SE"/>
              </w:rPr>
              <w:br/>
              <w:t>Hotell och Restaurang Facket</w:t>
            </w:r>
          </w:p>
        </w:tc>
        <w:tc>
          <w:tcPr>
            <w:tcW w:w="2406" w:type="dxa"/>
            <w:tcBorders>
              <w:top w:val="nil"/>
              <w:bottom w:val="nil"/>
            </w:tcBorders>
            <w:shd w:val="clear" w:color="auto" w:fill="auto"/>
          </w:tcPr>
          <w:p w:rsidR="008A180B" w:rsidRPr="00EF683B" w:rsidRDefault="008A180B" w:rsidP="008A180B">
            <w:pPr>
              <w:pStyle w:val="Tabellinnehllvnster"/>
              <w:tabs>
                <w:tab w:val="left" w:pos="176"/>
              </w:tabs>
              <w:ind w:left="176"/>
              <w:rPr>
                <w:rFonts w:eastAsia="Times New Roman"/>
                <w:b/>
                <w:lang w:val="sv-SE"/>
              </w:rPr>
            </w:pPr>
            <w:r w:rsidRPr="00EF683B">
              <w:rPr>
                <w:rFonts w:eastAsia="Times New Roman"/>
                <w:b/>
                <w:lang w:val="sv-SE"/>
              </w:rPr>
              <w:t>Anders Lindström</w:t>
            </w:r>
            <w:r w:rsidRPr="00EF683B">
              <w:rPr>
                <w:rFonts w:eastAsia="Times New Roman"/>
                <w:b/>
                <w:lang w:val="sv-SE"/>
              </w:rPr>
              <w:br/>
              <w:t>Jan-Peter Duker</w:t>
            </w:r>
            <w:r w:rsidRPr="00EF683B">
              <w:rPr>
                <w:rFonts w:eastAsia="Times New Roman"/>
                <w:b/>
                <w:lang w:val="sv-SE"/>
              </w:rPr>
              <w:br/>
              <w:t>Gunilla Runnquist</w:t>
            </w:r>
          </w:p>
        </w:tc>
        <w:tc>
          <w:tcPr>
            <w:tcW w:w="2265" w:type="dxa"/>
            <w:tcBorders>
              <w:top w:val="nil"/>
              <w:bottom w:val="nil"/>
            </w:tcBorders>
            <w:shd w:val="clear" w:color="auto" w:fill="auto"/>
          </w:tcPr>
          <w:p w:rsidR="008A180B" w:rsidRPr="00EF683B" w:rsidRDefault="008A180B" w:rsidP="008A180B">
            <w:pPr>
              <w:pStyle w:val="Tabellinnehllvnster"/>
              <w:tabs>
                <w:tab w:val="left" w:pos="176"/>
              </w:tabs>
              <w:ind w:left="176"/>
              <w:rPr>
                <w:rFonts w:eastAsia="Times New Roman"/>
                <w:b/>
                <w:lang w:val="sv-SE"/>
              </w:rPr>
            </w:pPr>
            <w:r w:rsidRPr="00EF683B">
              <w:rPr>
                <w:rFonts w:eastAsia="Times New Roman"/>
                <w:b/>
                <w:lang w:val="sv-SE"/>
              </w:rPr>
              <w:t>Hotell- och restaurangavtalet</w:t>
            </w:r>
            <w:r w:rsidRPr="00EF683B">
              <w:rPr>
                <w:rFonts w:eastAsia="Times New Roman"/>
                <w:b/>
                <w:lang w:val="sv-SE"/>
              </w:rPr>
              <w:br/>
              <w:t>Casinoföretag</w:t>
            </w:r>
            <w:r w:rsidRPr="00EF683B">
              <w:rPr>
                <w:rFonts w:eastAsia="Times New Roman"/>
                <w:b/>
                <w:lang w:val="sv-SE"/>
              </w:rPr>
              <w:br/>
              <w:t>Nöjesavtalet</w:t>
            </w:r>
          </w:p>
        </w:tc>
        <w:tc>
          <w:tcPr>
            <w:tcW w:w="1417" w:type="dxa"/>
            <w:tcBorders>
              <w:top w:val="nil"/>
              <w:bottom w:val="nil"/>
            </w:tcBorders>
            <w:shd w:val="clear" w:color="auto" w:fill="auto"/>
          </w:tcPr>
          <w:p w:rsidR="008A180B" w:rsidRPr="00EF683B" w:rsidRDefault="008A180B" w:rsidP="008A180B">
            <w:pPr>
              <w:pStyle w:val="Tabellinnehllvnster"/>
              <w:tabs>
                <w:tab w:val="left" w:pos="176"/>
              </w:tabs>
              <w:ind w:left="176"/>
              <w:rPr>
                <w:rFonts w:eastAsia="Times New Roman"/>
                <w:b/>
                <w:lang w:val="sv-SE"/>
              </w:rPr>
            </w:pPr>
            <w:r w:rsidRPr="00EF683B">
              <w:rPr>
                <w:rFonts w:eastAsia="Times New Roman"/>
                <w:b/>
                <w:lang w:val="sv-SE"/>
              </w:rPr>
              <w:t>Ja</w:t>
            </w:r>
          </w:p>
        </w:tc>
        <w:tc>
          <w:tcPr>
            <w:tcW w:w="1558" w:type="dxa"/>
            <w:tcBorders>
              <w:top w:val="nil"/>
              <w:bottom w:val="nil"/>
            </w:tcBorders>
          </w:tcPr>
          <w:p w:rsidR="008A180B" w:rsidRPr="00EF683B" w:rsidRDefault="008A180B" w:rsidP="008A180B">
            <w:pPr>
              <w:pStyle w:val="Tabellinnehllvnster"/>
              <w:tabs>
                <w:tab w:val="left" w:pos="176"/>
              </w:tabs>
              <w:ind w:left="176"/>
              <w:rPr>
                <w:rFonts w:eastAsia="Times New Roman"/>
                <w:b/>
                <w:lang w:val="sv-SE"/>
              </w:rPr>
            </w:pPr>
            <w:r>
              <w:rPr>
                <w:rFonts w:eastAsia="Times New Roman"/>
                <w:b/>
                <w:lang w:val="sv-SE"/>
              </w:rPr>
              <w:t>Ja</w:t>
            </w:r>
          </w:p>
        </w:tc>
        <w:tc>
          <w:tcPr>
            <w:tcW w:w="1416" w:type="dxa"/>
            <w:tcBorders>
              <w:top w:val="nil"/>
              <w:bottom w:val="nil"/>
            </w:tcBorders>
            <w:shd w:val="clear" w:color="auto" w:fill="auto"/>
          </w:tcPr>
          <w:p w:rsidR="008A180B" w:rsidRPr="00EF683B" w:rsidRDefault="008A180B" w:rsidP="008A180B">
            <w:pPr>
              <w:pStyle w:val="Tabellinnehllvnster"/>
              <w:tabs>
                <w:tab w:val="left" w:pos="176"/>
              </w:tabs>
              <w:ind w:left="176"/>
              <w:rPr>
                <w:rFonts w:eastAsia="Times New Roman"/>
                <w:b/>
                <w:lang w:val="sv-SE"/>
              </w:rPr>
            </w:pPr>
            <w:r w:rsidRPr="00EF683B">
              <w:rPr>
                <w:rFonts w:eastAsia="Times New Roman"/>
                <w:b/>
                <w:lang w:val="sv-SE"/>
              </w:rPr>
              <w:t>-</w:t>
            </w:r>
          </w:p>
        </w:tc>
        <w:tc>
          <w:tcPr>
            <w:tcW w:w="1838" w:type="dxa"/>
            <w:tcBorders>
              <w:top w:val="nil"/>
              <w:bottom w:val="nil"/>
            </w:tcBorders>
            <w:shd w:val="clear" w:color="auto" w:fill="auto"/>
          </w:tcPr>
          <w:p w:rsidR="008A180B" w:rsidRPr="00EF683B" w:rsidRDefault="008A180B" w:rsidP="008A180B">
            <w:pPr>
              <w:pStyle w:val="Tabellinnehllvnster"/>
              <w:tabs>
                <w:tab w:val="left" w:pos="176"/>
              </w:tabs>
              <w:ind w:left="176"/>
              <w:rPr>
                <w:rFonts w:eastAsia="Times New Roman"/>
                <w:b/>
                <w:lang w:val="sv-SE"/>
              </w:rPr>
            </w:pPr>
            <w:r w:rsidRPr="00EF683B">
              <w:rPr>
                <w:rFonts w:eastAsia="Times New Roman"/>
                <w:b/>
                <w:lang w:val="sv-SE"/>
              </w:rPr>
              <w:t>-</w:t>
            </w:r>
          </w:p>
        </w:tc>
        <w:tc>
          <w:tcPr>
            <w:tcW w:w="1151" w:type="dxa"/>
            <w:tcBorders>
              <w:top w:val="nil"/>
              <w:bottom w:val="nil"/>
            </w:tcBorders>
            <w:shd w:val="clear" w:color="auto" w:fill="auto"/>
          </w:tcPr>
          <w:p w:rsidR="008A180B" w:rsidRPr="00EF683B" w:rsidRDefault="008A180B" w:rsidP="008A180B">
            <w:pPr>
              <w:pStyle w:val="Tabellinnehllvnster"/>
              <w:tabs>
                <w:tab w:val="left" w:pos="176"/>
              </w:tabs>
              <w:ind w:left="176"/>
              <w:rPr>
                <w:rFonts w:eastAsia="Times New Roman"/>
                <w:b/>
                <w:lang w:val="sv-SE"/>
              </w:rPr>
            </w:pPr>
            <w:r w:rsidRPr="00EF683B">
              <w:rPr>
                <w:rFonts w:eastAsia="Times New Roman"/>
                <w:b/>
                <w:lang w:val="sv-SE"/>
              </w:rPr>
              <w:t>10 jun</w:t>
            </w:r>
            <w:r>
              <w:rPr>
                <w:rFonts w:eastAsia="Times New Roman"/>
                <w:b/>
                <w:lang w:val="sv-SE"/>
              </w:rPr>
              <w:t>i</w:t>
            </w:r>
          </w:p>
        </w:tc>
      </w:tr>
      <w:tr w:rsidR="008A180B" w:rsidRPr="00EF683B" w:rsidTr="008A180B">
        <w:tc>
          <w:tcPr>
            <w:tcW w:w="3400" w:type="dxa"/>
            <w:tcBorders>
              <w:top w:val="nil"/>
              <w:left w:val="single" w:sz="4" w:space="0" w:color="auto"/>
              <w:bottom w:val="single" w:sz="4" w:space="0" w:color="auto"/>
            </w:tcBorders>
            <w:shd w:val="clear" w:color="auto" w:fill="FBD4B4" w:themeFill="accent6" w:themeFillTint="66"/>
          </w:tcPr>
          <w:p w:rsidR="008A180B" w:rsidRPr="00EF683B" w:rsidRDefault="008A180B" w:rsidP="008A180B">
            <w:pPr>
              <w:pStyle w:val="Tabellinnehllvnster"/>
              <w:tabs>
                <w:tab w:val="left" w:pos="176"/>
              </w:tabs>
              <w:ind w:left="176"/>
              <w:rPr>
                <w:rFonts w:eastAsia="Times New Roman"/>
                <w:b/>
                <w:lang w:val="sv-SE"/>
              </w:rPr>
            </w:pPr>
            <w:r w:rsidRPr="00EF683B">
              <w:rPr>
                <w:rFonts w:eastAsia="Times New Roman"/>
                <w:b/>
                <w:lang w:val="sv-SE"/>
              </w:rPr>
              <w:t>20. Medieföretagen ./.</w:t>
            </w:r>
            <w:r w:rsidRPr="00EF683B">
              <w:rPr>
                <w:rFonts w:eastAsia="Times New Roman"/>
                <w:b/>
                <w:lang w:val="sv-SE"/>
              </w:rPr>
              <w:br/>
              <w:t>Unionen</w:t>
            </w:r>
          </w:p>
        </w:tc>
        <w:tc>
          <w:tcPr>
            <w:tcW w:w="2406" w:type="dxa"/>
            <w:tcBorders>
              <w:top w:val="nil"/>
              <w:bottom w:val="single" w:sz="4" w:space="0" w:color="auto"/>
            </w:tcBorders>
            <w:shd w:val="clear" w:color="auto" w:fill="FBD4B4" w:themeFill="accent6" w:themeFillTint="66"/>
          </w:tcPr>
          <w:p w:rsidR="008A180B" w:rsidRPr="00EF683B" w:rsidRDefault="008A180B" w:rsidP="008A180B">
            <w:pPr>
              <w:pStyle w:val="Tabellinnehllvnster"/>
              <w:tabs>
                <w:tab w:val="left" w:pos="176"/>
              </w:tabs>
              <w:ind w:left="176"/>
              <w:rPr>
                <w:rFonts w:eastAsia="Times New Roman"/>
                <w:b/>
                <w:lang w:val="sv-SE"/>
              </w:rPr>
            </w:pPr>
            <w:r w:rsidRPr="00EF683B">
              <w:rPr>
                <w:rFonts w:eastAsia="Times New Roman"/>
                <w:b/>
                <w:lang w:val="sv-SE"/>
              </w:rPr>
              <w:t>Förhandlingsordnings</w:t>
            </w:r>
            <w:r w:rsidRPr="00EF683B">
              <w:rPr>
                <w:rFonts w:eastAsia="Times New Roman"/>
                <w:b/>
                <w:lang w:val="sv-SE"/>
              </w:rPr>
              <w:softHyphen/>
              <w:t xml:space="preserve">avtal, </w:t>
            </w:r>
            <w:r w:rsidRPr="00EF683B">
              <w:rPr>
                <w:rFonts w:eastAsia="Times New Roman"/>
                <w:b/>
                <w:lang w:val="sv-SE"/>
              </w:rPr>
              <w:br/>
              <w:t>ej MI:s medlare (Benne Lantz, Christina Rogestam)</w:t>
            </w:r>
            <w:r w:rsidRPr="00EF683B">
              <w:rPr>
                <w:rFonts w:eastAsia="Times New Roman"/>
                <w:b/>
                <w:lang w:val="sv-SE"/>
              </w:rPr>
              <w:br/>
            </w:r>
          </w:p>
        </w:tc>
        <w:tc>
          <w:tcPr>
            <w:tcW w:w="2265" w:type="dxa"/>
            <w:tcBorders>
              <w:top w:val="nil"/>
              <w:bottom w:val="single" w:sz="4" w:space="0" w:color="auto"/>
            </w:tcBorders>
            <w:shd w:val="clear" w:color="auto" w:fill="FBD4B4" w:themeFill="accent6" w:themeFillTint="66"/>
          </w:tcPr>
          <w:p w:rsidR="008A180B" w:rsidRPr="00EF683B" w:rsidRDefault="008A180B" w:rsidP="008A180B">
            <w:pPr>
              <w:pStyle w:val="Tabellinnehllvnster"/>
              <w:tabs>
                <w:tab w:val="left" w:pos="176"/>
              </w:tabs>
              <w:ind w:left="176"/>
              <w:rPr>
                <w:rFonts w:eastAsia="Times New Roman"/>
                <w:b/>
                <w:lang w:val="sv-SE"/>
              </w:rPr>
            </w:pPr>
            <w:r w:rsidRPr="00EF683B">
              <w:rPr>
                <w:rFonts w:eastAsia="Times New Roman"/>
                <w:b/>
                <w:lang w:val="sv-SE"/>
              </w:rPr>
              <w:t>HTF-avtalet</w:t>
            </w:r>
            <w:r w:rsidRPr="00EF683B">
              <w:rPr>
                <w:rFonts w:eastAsia="Times New Roman"/>
                <w:b/>
                <w:vertAlign w:val="superscript"/>
                <w:lang w:val="sv-SE"/>
              </w:rPr>
              <w:t>1</w:t>
            </w:r>
          </w:p>
        </w:tc>
        <w:tc>
          <w:tcPr>
            <w:tcW w:w="1417" w:type="dxa"/>
            <w:tcBorders>
              <w:top w:val="nil"/>
              <w:bottom w:val="single" w:sz="4" w:space="0" w:color="auto"/>
            </w:tcBorders>
            <w:shd w:val="clear" w:color="auto" w:fill="FBD4B4" w:themeFill="accent6" w:themeFillTint="66"/>
          </w:tcPr>
          <w:p w:rsidR="008A180B" w:rsidRPr="00EF683B" w:rsidRDefault="008A180B" w:rsidP="008A180B">
            <w:pPr>
              <w:pStyle w:val="Tabellinnehllvnster"/>
              <w:tabs>
                <w:tab w:val="left" w:pos="176"/>
              </w:tabs>
              <w:ind w:left="176"/>
              <w:rPr>
                <w:rFonts w:eastAsia="Times New Roman"/>
                <w:b/>
                <w:lang w:val="sv-SE"/>
              </w:rPr>
            </w:pPr>
            <w:r w:rsidRPr="00EF683B">
              <w:rPr>
                <w:rFonts w:eastAsia="Times New Roman"/>
                <w:b/>
                <w:lang w:val="sv-SE"/>
              </w:rPr>
              <w:t>Ja</w:t>
            </w:r>
          </w:p>
        </w:tc>
        <w:tc>
          <w:tcPr>
            <w:tcW w:w="1558" w:type="dxa"/>
            <w:tcBorders>
              <w:top w:val="nil"/>
              <w:bottom w:val="single" w:sz="4" w:space="0" w:color="auto"/>
            </w:tcBorders>
            <w:shd w:val="clear" w:color="auto" w:fill="FBD4B4" w:themeFill="accent6" w:themeFillTint="66"/>
          </w:tcPr>
          <w:p w:rsidR="008A180B" w:rsidRPr="00EF683B" w:rsidRDefault="008A180B" w:rsidP="008A180B">
            <w:pPr>
              <w:pStyle w:val="Tabellinnehllvnster"/>
              <w:tabs>
                <w:tab w:val="left" w:pos="176"/>
              </w:tabs>
              <w:ind w:left="176"/>
              <w:rPr>
                <w:rFonts w:eastAsia="Times New Roman"/>
                <w:b/>
                <w:lang w:val="sv-SE"/>
              </w:rPr>
            </w:pPr>
            <w:r>
              <w:rPr>
                <w:rFonts w:eastAsia="Times New Roman"/>
                <w:b/>
                <w:lang w:val="sv-SE"/>
              </w:rPr>
              <w:t>-</w:t>
            </w:r>
          </w:p>
        </w:tc>
        <w:tc>
          <w:tcPr>
            <w:tcW w:w="1416" w:type="dxa"/>
            <w:tcBorders>
              <w:top w:val="nil"/>
              <w:bottom w:val="single" w:sz="4" w:space="0" w:color="auto"/>
            </w:tcBorders>
            <w:shd w:val="clear" w:color="auto" w:fill="FBD4B4" w:themeFill="accent6" w:themeFillTint="66"/>
          </w:tcPr>
          <w:p w:rsidR="008A180B" w:rsidRPr="00EF683B" w:rsidRDefault="008A180B" w:rsidP="008A180B">
            <w:pPr>
              <w:pStyle w:val="Tabellinnehllvnster"/>
              <w:tabs>
                <w:tab w:val="left" w:pos="176"/>
              </w:tabs>
              <w:ind w:left="176"/>
              <w:rPr>
                <w:rFonts w:eastAsia="Times New Roman"/>
                <w:b/>
                <w:lang w:val="sv-SE"/>
              </w:rPr>
            </w:pPr>
            <w:r w:rsidRPr="00EF683B">
              <w:rPr>
                <w:rFonts w:eastAsia="Times New Roman"/>
                <w:b/>
                <w:lang w:val="sv-SE"/>
              </w:rPr>
              <w:t>7 juni–10 juni</w:t>
            </w:r>
          </w:p>
        </w:tc>
        <w:tc>
          <w:tcPr>
            <w:tcW w:w="1838" w:type="dxa"/>
            <w:tcBorders>
              <w:top w:val="nil"/>
              <w:bottom w:val="single" w:sz="4" w:space="0" w:color="auto"/>
            </w:tcBorders>
            <w:shd w:val="clear" w:color="auto" w:fill="FBD4B4" w:themeFill="accent6" w:themeFillTint="66"/>
          </w:tcPr>
          <w:p w:rsidR="008A180B" w:rsidRPr="00EF683B" w:rsidRDefault="008A180B" w:rsidP="008A180B">
            <w:pPr>
              <w:pStyle w:val="Tabellinnehllvnster"/>
              <w:tabs>
                <w:tab w:val="left" w:pos="176"/>
              </w:tabs>
              <w:ind w:left="176"/>
              <w:rPr>
                <w:rFonts w:eastAsia="Times New Roman"/>
                <w:b/>
                <w:lang w:val="sv-SE"/>
              </w:rPr>
            </w:pPr>
            <w:r>
              <w:rPr>
                <w:rFonts w:eastAsia="Times New Roman"/>
                <w:b/>
                <w:lang w:val="sv-SE"/>
              </w:rPr>
              <w:t>Cirka 200</w:t>
            </w:r>
          </w:p>
        </w:tc>
        <w:tc>
          <w:tcPr>
            <w:tcW w:w="1151" w:type="dxa"/>
            <w:tcBorders>
              <w:top w:val="nil"/>
              <w:bottom w:val="single" w:sz="4" w:space="0" w:color="auto"/>
            </w:tcBorders>
            <w:shd w:val="clear" w:color="auto" w:fill="FBD4B4" w:themeFill="accent6" w:themeFillTint="66"/>
          </w:tcPr>
          <w:p w:rsidR="008A180B" w:rsidRPr="00EF683B" w:rsidRDefault="008A180B" w:rsidP="008A180B">
            <w:pPr>
              <w:pStyle w:val="Tabellinnehllvnster"/>
              <w:tabs>
                <w:tab w:val="left" w:pos="176"/>
              </w:tabs>
              <w:ind w:left="176"/>
              <w:rPr>
                <w:rFonts w:eastAsia="Times New Roman"/>
                <w:b/>
                <w:lang w:val="sv-SE"/>
              </w:rPr>
            </w:pPr>
            <w:r w:rsidRPr="00EF683B">
              <w:rPr>
                <w:rFonts w:eastAsia="Times New Roman"/>
                <w:b/>
                <w:lang w:val="sv-SE"/>
              </w:rPr>
              <w:t>10 jun</w:t>
            </w:r>
            <w:r>
              <w:rPr>
                <w:rFonts w:eastAsia="Times New Roman"/>
                <w:b/>
                <w:lang w:val="sv-SE"/>
              </w:rPr>
              <w:t>i</w:t>
            </w:r>
          </w:p>
        </w:tc>
      </w:tr>
    </w:tbl>
    <w:p w:rsidR="008A180B" w:rsidRDefault="008A180B" w:rsidP="008A180B">
      <w:r>
        <w:br w:type="page"/>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0"/>
        <w:gridCol w:w="2406"/>
        <w:gridCol w:w="2265"/>
        <w:gridCol w:w="1417"/>
        <w:gridCol w:w="1558"/>
        <w:gridCol w:w="1416"/>
        <w:gridCol w:w="1714"/>
        <w:gridCol w:w="1417"/>
      </w:tblGrid>
      <w:tr w:rsidR="008A180B" w:rsidRPr="00EF683B" w:rsidTr="008A180B">
        <w:tc>
          <w:tcPr>
            <w:tcW w:w="3400" w:type="dxa"/>
            <w:tcBorders>
              <w:top w:val="single" w:sz="4" w:space="0" w:color="auto"/>
              <w:left w:val="single" w:sz="4" w:space="0" w:color="auto"/>
              <w:bottom w:val="single" w:sz="4" w:space="0" w:color="auto"/>
            </w:tcBorders>
            <w:shd w:val="clear" w:color="auto" w:fill="FFFFFF"/>
          </w:tcPr>
          <w:p w:rsidR="008A180B" w:rsidRPr="00EF683B" w:rsidRDefault="008A180B" w:rsidP="008A180B">
            <w:pPr>
              <w:pStyle w:val="Tabellinnehllvnster"/>
              <w:tabs>
                <w:tab w:val="left" w:pos="459"/>
              </w:tabs>
              <w:ind w:left="459" w:right="578"/>
              <w:rPr>
                <w:rFonts w:eastAsia="Times New Roman"/>
                <w:b/>
                <w:lang w:val="sv-SE"/>
              </w:rPr>
            </w:pPr>
            <w:r w:rsidRPr="00EF683B">
              <w:rPr>
                <w:rFonts w:eastAsia="Times New Roman"/>
                <w:b/>
                <w:lang w:val="sv-SE"/>
              </w:rPr>
              <w:lastRenderedPageBreak/>
              <w:t>Parter</w:t>
            </w:r>
          </w:p>
        </w:tc>
        <w:tc>
          <w:tcPr>
            <w:tcW w:w="2406" w:type="dxa"/>
            <w:tcBorders>
              <w:top w:val="single" w:sz="4" w:space="0" w:color="auto"/>
              <w:bottom w:val="single" w:sz="4" w:space="0" w:color="auto"/>
            </w:tcBorders>
            <w:shd w:val="clear" w:color="auto" w:fill="FFFFFF"/>
          </w:tcPr>
          <w:p w:rsidR="008A180B" w:rsidRPr="00EF683B" w:rsidRDefault="008A180B" w:rsidP="00640867">
            <w:pPr>
              <w:pStyle w:val="Tabellinnehllvnster"/>
              <w:ind w:left="178"/>
              <w:rPr>
                <w:rFonts w:eastAsia="Times New Roman"/>
                <w:b/>
                <w:lang w:val="sv-SE"/>
              </w:rPr>
            </w:pPr>
            <w:r w:rsidRPr="00EF683B">
              <w:rPr>
                <w:rFonts w:eastAsia="Times New Roman"/>
                <w:b/>
                <w:lang w:val="sv-SE"/>
              </w:rPr>
              <w:t>Medlare</w:t>
            </w:r>
          </w:p>
        </w:tc>
        <w:tc>
          <w:tcPr>
            <w:tcW w:w="2265" w:type="dxa"/>
            <w:tcBorders>
              <w:top w:val="single" w:sz="4" w:space="0" w:color="auto"/>
              <w:bottom w:val="single" w:sz="4" w:space="0" w:color="auto"/>
            </w:tcBorders>
            <w:shd w:val="clear" w:color="auto" w:fill="FFFFFF"/>
          </w:tcPr>
          <w:p w:rsidR="008A180B" w:rsidRPr="00EF683B" w:rsidRDefault="008A180B" w:rsidP="008A180B">
            <w:pPr>
              <w:pStyle w:val="Tabellinnehllvnster"/>
              <w:rPr>
                <w:rFonts w:eastAsia="Times New Roman"/>
                <w:b/>
                <w:lang w:val="sv-SE"/>
              </w:rPr>
            </w:pPr>
            <w:r w:rsidRPr="00EF683B">
              <w:rPr>
                <w:rFonts w:eastAsia="Times New Roman"/>
                <w:b/>
                <w:lang w:val="sv-SE"/>
              </w:rPr>
              <w:t>Förbundsavtal</w:t>
            </w:r>
          </w:p>
        </w:tc>
        <w:tc>
          <w:tcPr>
            <w:tcW w:w="1417" w:type="dxa"/>
            <w:tcBorders>
              <w:top w:val="single" w:sz="4" w:space="0" w:color="auto"/>
              <w:bottom w:val="single" w:sz="4" w:space="0" w:color="auto"/>
            </w:tcBorders>
            <w:shd w:val="clear" w:color="auto" w:fill="FFFFFF"/>
          </w:tcPr>
          <w:p w:rsidR="008A180B" w:rsidRPr="006561DB" w:rsidRDefault="008A180B" w:rsidP="008A180B">
            <w:pPr>
              <w:pStyle w:val="Tabellinnehllvnster"/>
              <w:rPr>
                <w:rFonts w:eastAsia="Times New Roman"/>
                <w:b/>
                <w:vertAlign w:val="superscript"/>
                <w:lang w:val="sv-SE"/>
              </w:rPr>
            </w:pPr>
            <w:r w:rsidRPr="00EF683B">
              <w:rPr>
                <w:rFonts w:eastAsia="Times New Roman"/>
                <w:b/>
                <w:lang w:val="sv-SE"/>
              </w:rPr>
              <w:t>Varsel</w:t>
            </w:r>
            <w:r>
              <w:rPr>
                <w:rFonts w:eastAsia="Times New Roman"/>
                <w:b/>
                <w:lang w:val="sv-SE"/>
              </w:rPr>
              <w:t xml:space="preserve"> om stridsåtgärder</w:t>
            </w:r>
            <w:r>
              <w:rPr>
                <w:rFonts w:eastAsia="Times New Roman"/>
                <w:b/>
                <w:vertAlign w:val="superscript"/>
                <w:lang w:val="sv-SE"/>
              </w:rPr>
              <w:t>1</w:t>
            </w:r>
          </w:p>
        </w:tc>
        <w:tc>
          <w:tcPr>
            <w:tcW w:w="1558" w:type="dxa"/>
            <w:tcBorders>
              <w:top w:val="single" w:sz="4" w:space="0" w:color="auto"/>
              <w:bottom w:val="single" w:sz="4" w:space="0" w:color="auto"/>
            </w:tcBorders>
            <w:shd w:val="clear" w:color="auto" w:fill="FFFFFF"/>
          </w:tcPr>
          <w:p w:rsidR="008A180B" w:rsidRPr="006561DB" w:rsidRDefault="008A180B" w:rsidP="008A180B">
            <w:pPr>
              <w:pStyle w:val="Tabellinnehllvnster"/>
              <w:rPr>
                <w:rFonts w:eastAsia="Times New Roman"/>
                <w:b/>
                <w:vertAlign w:val="superscript"/>
                <w:lang w:val="sv-SE"/>
              </w:rPr>
            </w:pPr>
            <w:r>
              <w:rPr>
                <w:rFonts w:eastAsia="Times New Roman"/>
                <w:b/>
                <w:lang w:val="sv-SE"/>
              </w:rPr>
              <w:t>Varsel om sympatiåtgärder</w:t>
            </w:r>
            <w:r>
              <w:rPr>
                <w:rFonts w:eastAsia="Times New Roman"/>
                <w:b/>
                <w:vertAlign w:val="superscript"/>
                <w:lang w:val="sv-SE"/>
              </w:rPr>
              <w:t>1</w:t>
            </w:r>
          </w:p>
        </w:tc>
        <w:tc>
          <w:tcPr>
            <w:tcW w:w="1416" w:type="dxa"/>
            <w:tcBorders>
              <w:top w:val="single" w:sz="4" w:space="0" w:color="auto"/>
              <w:bottom w:val="single" w:sz="4" w:space="0" w:color="auto"/>
            </w:tcBorders>
            <w:shd w:val="clear" w:color="auto" w:fill="FFFFFF"/>
          </w:tcPr>
          <w:p w:rsidR="008A180B" w:rsidRPr="006561DB" w:rsidRDefault="008A180B" w:rsidP="008A180B">
            <w:pPr>
              <w:pStyle w:val="Tabellinnehllvnster"/>
              <w:rPr>
                <w:rFonts w:eastAsia="Times New Roman"/>
                <w:b/>
                <w:vertAlign w:val="superscript"/>
                <w:lang w:val="sv-SE"/>
              </w:rPr>
            </w:pPr>
            <w:r w:rsidRPr="00EF683B">
              <w:rPr>
                <w:rFonts w:eastAsia="Times New Roman"/>
                <w:b/>
                <w:lang w:val="sv-SE"/>
              </w:rPr>
              <w:t>Verkställda stridsåtgärder</w:t>
            </w:r>
            <w:r>
              <w:rPr>
                <w:rFonts w:eastAsia="Times New Roman"/>
                <w:b/>
                <w:vertAlign w:val="superscript"/>
                <w:lang w:val="sv-SE"/>
              </w:rPr>
              <w:t>1</w:t>
            </w:r>
          </w:p>
        </w:tc>
        <w:tc>
          <w:tcPr>
            <w:tcW w:w="1714" w:type="dxa"/>
            <w:tcBorders>
              <w:top w:val="single" w:sz="4" w:space="0" w:color="auto"/>
              <w:bottom w:val="single" w:sz="4" w:space="0" w:color="auto"/>
            </w:tcBorders>
            <w:shd w:val="clear" w:color="auto" w:fill="FFFFFF"/>
          </w:tcPr>
          <w:p w:rsidR="008A180B" w:rsidRPr="00EF683B" w:rsidRDefault="008A180B" w:rsidP="008A180B">
            <w:pPr>
              <w:pStyle w:val="Tabellinnehllvnster"/>
              <w:rPr>
                <w:rFonts w:eastAsia="Times New Roman"/>
                <w:b/>
                <w:lang w:val="sv-SE"/>
              </w:rPr>
            </w:pPr>
            <w:r w:rsidRPr="00EF683B">
              <w:rPr>
                <w:rFonts w:eastAsia="Times New Roman"/>
                <w:b/>
                <w:lang w:val="sv-SE"/>
              </w:rPr>
              <w:t>Preliminärt antal förlorade arbetsdagar</w:t>
            </w:r>
          </w:p>
        </w:tc>
        <w:tc>
          <w:tcPr>
            <w:tcW w:w="1417" w:type="dxa"/>
            <w:tcBorders>
              <w:top w:val="single" w:sz="4" w:space="0" w:color="auto"/>
              <w:bottom w:val="single" w:sz="4" w:space="0" w:color="auto"/>
            </w:tcBorders>
            <w:shd w:val="clear" w:color="auto" w:fill="FFFFFF"/>
          </w:tcPr>
          <w:p w:rsidR="008A180B" w:rsidRPr="00EF683B" w:rsidRDefault="008A180B" w:rsidP="008A180B">
            <w:pPr>
              <w:pStyle w:val="Tabellinnehllvnster"/>
              <w:tabs>
                <w:tab w:val="left" w:pos="1047"/>
              </w:tabs>
              <w:rPr>
                <w:rFonts w:eastAsia="Times New Roman"/>
                <w:b/>
                <w:lang w:val="sv-SE"/>
              </w:rPr>
            </w:pPr>
            <w:r w:rsidRPr="00EF683B">
              <w:rPr>
                <w:rFonts w:eastAsia="Times New Roman"/>
                <w:b/>
                <w:lang w:val="sv-SE"/>
              </w:rPr>
              <w:t>Avtal klart</w:t>
            </w:r>
          </w:p>
        </w:tc>
      </w:tr>
      <w:tr w:rsidR="008A180B" w:rsidRPr="00EF683B" w:rsidTr="008A180B">
        <w:tc>
          <w:tcPr>
            <w:tcW w:w="3400" w:type="dxa"/>
            <w:tcBorders>
              <w:top w:val="nil"/>
              <w:left w:val="single" w:sz="4" w:space="0" w:color="auto"/>
              <w:bottom w:val="nil"/>
            </w:tcBorders>
            <w:shd w:val="clear" w:color="auto" w:fill="auto"/>
          </w:tcPr>
          <w:p w:rsidR="008A180B" w:rsidRPr="00EF683B" w:rsidRDefault="008A180B" w:rsidP="008A180B">
            <w:pPr>
              <w:pStyle w:val="Tabellinnehllvnster"/>
              <w:tabs>
                <w:tab w:val="left" w:pos="176"/>
              </w:tabs>
              <w:ind w:left="176"/>
              <w:rPr>
                <w:rFonts w:eastAsia="Times New Roman"/>
                <w:b/>
                <w:lang w:val="sv-SE"/>
              </w:rPr>
            </w:pPr>
            <w:r w:rsidRPr="00EF683B">
              <w:rPr>
                <w:rFonts w:eastAsia="Times New Roman"/>
                <w:b/>
                <w:lang w:val="sv-SE"/>
              </w:rPr>
              <w:t>21. Almega Tjänsteföretagen ./.</w:t>
            </w:r>
            <w:r w:rsidRPr="00EF683B">
              <w:rPr>
                <w:rFonts w:eastAsia="Times New Roman"/>
                <w:b/>
                <w:lang w:val="sv-SE"/>
              </w:rPr>
              <w:br/>
              <w:t>Unionen</w:t>
            </w:r>
          </w:p>
        </w:tc>
        <w:tc>
          <w:tcPr>
            <w:tcW w:w="2406" w:type="dxa"/>
            <w:tcBorders>
              <w:top w:val="nil"/>
              <w:bottom w:val="nil"/>
            </w:tcBorders>
            <w:shd w:val="clear" w:color="auto" w:fill="auto"/>
          </w:tcPr>
          <w:p w:rsidR="008A180B" w:rsidRPr="00EF683B" w:rsidRDefault="008A180B" w:rsidP="008A180B">
            <w:pPr>
              <w:pStyle w:val="Tabellinnehllvnster"/>
              <w:tabs>
                <w:tab w:val="left" w:pos="176"/>
              </w:tabs>
              <w:ind w:left="176"/>
              <w:rPr>
                <w:rFonts w:eastAsia="Times New Roman"/>
                <w:b/>
                <w:lang w:val="sv-SE"/>
              </w:rPr>
            </w:pPr>
            <w:r w:rsidRPr="00EF683B">
              <w:rPr>
                <w:rFonts w:eastAsia="Times New Roman"/>
                <w:b/>
                <w:lang w:val="sv-SE"/>
              </w:rPr>
              <w:t>Förhandlingsordnings</w:t>
            </w:r>
            <w:r w:rsidRPr="00EF683B">
              <w:rPr>
                <w:rFonts w:eastAsia="Times New Roman"/>
                <w:b/>
                <w:lang w:val="sv-SE"/>
              </w:rPr>
              <w:softHyphen/>
              <w:t xml:space="preserve">avtal, </w:t>
            </w:r>
            <w:r w:rsidRPr="00EF683B">
              <w:rPr>
                <w:rFonts w:eastAsia="Times New Roman"/>
                <w:b/>
                <w:lang w:val="sv-SE"/>
              </w:rPr>
              <w:br/>
              <w:t>ej MI:s medlare (Benne Lantz, Christina Rogestam)</w:t>
            </w:r>
          </w:p>
        </w:tc>
        <w:tc>
          <w:tcPr>
            <w:tcW w:w="2265" w:type="dxa"/>
            <w:tcBorders>
              <w:top w:val="nil"/>
              <w:bottom w:val="nil"/>
            </w:tcBorders>
            <w:shd w:val="clear" w:color="auto" w:fill="auto"/>
          </w:tcPr>
          <w:p w:rsidR="008A180B" w:rsidRPr="00EF683B" w:rsidRDefault="008A180B" w:rsidP="008A180B">
            <w:pPr>
              <w:pStyle w:val="Tabellinnehllvnster"/>
              <w:tabs>
                <w:tab w:val="left" w:pos="176"/>
              </w:tabs>
              <w:ind w:left="176"/>
              <w:rPr>
                <w:rFonts w:eastAsia="Times New Roman"/>
                <w:b/>
                <w:lang w:val="sv-SE"/>
              </w:rPr>
            </w:pPr>
            <w:r w:rsidRPr="00EF683B">
              <w:rPr>
                <w:rFonts w:eastAsia="Times New Roman"/>
                <w:b/>
                <w:lang w:val="sv-SE"/>
              </w:rPr>
              <w:t>Tjänstemannaavtalet</w:t>
            </w:r>
          </w:p>
        </w:tc>
        <w:tc>
          <w:tcPr>
            <w:tcW w:w="1417" w:type="dxa"/>
            <w:tcBorders>
              <w:top w:val="nil"/>
              <w:bottom w:val="nil"/>
            </w:tcBorders>
            <w:shd w:val="clear" w:color="auto" w:fill="auto"/>
          </w:tcPr>
          <w:p w:rsidR="008A180B" w:rsidRPr="00EF683B" w:rsidRDefault="008A180B" w:rsidP="008A180B">
            <w:pPr>
              <w:pStyle w:val="Tabellinnehllvnster"/>
              <w:tabs>
                <w:tab w:val="left" w:pos="176"/>
              </w:tabs>
              <w:ind w:left="176"/>
              <w:rPr>
                <w:rFonts w:eastAsia="Times New Roman"/>
                <w:b/>
                <w:lang w:val="sv-SE"/>
              </w:rPr>
            </w:pPr>
            <w:r w:rsidRPr="00EF683B">
              <w:rPr>
                <w:rFonts w:eastAsia="Times New Roman"/>
                <w:b/>
                <w:lang w:val="sv-SE"/>
              </w:rPr>
              <w:t>Ja</w:t>
            </w:r>
          </w:p>
        </w:tc>
        <w:tc>
          <w:tcPr>
            <w:tcW w:w="1558" w:type="dxa"/>
            <w:tcBorders>
              <w:top w:val="nil"/>
              <w:bottom w:val="nil"/>
            </w:tcBorders>
          </w:tcPr>
          <w:p w:rsidR="008A180B" w:rsidRPr="00EF683B" w:rsidRDefault="008A180B" w:rsidP="008A180B">
            <w:pPr>
              <w:pStyle w:val="Tabellinnehllvnster"/>
              <w:tabs>
                <w:tab w:val="left" w:pos="176"/>
              </w:tabs>
              <w:ind w:left="176"/>
              <w:rPr>
                <w:rFonts w:eastAsia="Times New Roman"/>
                <w:b/>
                <w:lang w:val="sv-SE"/>
              </w:rPr>
            </w:pPr>
            <w:r>
              <w:rPr>
                <w:rFonts w:eastAsia="Times New Roman"/>
                <w:b/>
                <w:lang w:val="sv-SE"/>
              </w:rPr>
              <w:t>-</w:t>
            </w:r>
          </w:p>
        </w:tc>
        <w:tc>
          <w:tcPr>
            <w:tcW w:w="1416" w:type="dxa"/>
            <w:tcBorders>
              <w:top w:val="nil"/>
              <w:bottom w:val="nil"/>
            </w:tcBorders>
            <w:shd w:val="clear" w:color="auto" w:fill="auto"/>
          </w:tcPr>
          <w:p w:rsidR="008A180B" w:rsidRPr="00EF683B" w:rsidRDefault="008A180B" w:rsidP="008A180B">
            <w:pPr>
              <w:pStyle w:val="Tabellinnehllvnster"/>
              <w:tabs>
                <w:tab w:val="left" w:pos="176"/>
              </w:tabs>
              <w:ind w:left="176"/>
              <w:rPr>
                <w:rFonts w:eastAsia="Times New Roman"/>
                <w:b/>
                <w:lang w:val="sv-SE"/>
              </w:rPr>
            </w:pPr>
            <w:r w:rsidRPr="00EF683B">
              <w:rPr>
                <w:rFonts w:eastAsia="Times New Roman"/>
                <w:b/>
                <w:lang w:val="sv-SE"/>
              </w:rPr>
              <w:t>7 juni–10 juni</w:t>
            </w:r>
          </w:p>
        </w:tc>
        <w:tc>
          <w:tcPr>
            <w:tcW w:w="1714" w:type="dxa"/>
            <w:tcBorders>
              <w:top w:val="nil"/>
              <w:bottom w:val="nil"/>
            </w:tcBorders>
            <w:shd w:val="clear" w:color="auto" w:fill="auto"/>
          </w:tcPr>
          <w:p w:rsidR="008A180B" w:rsidRPr="00EF683B" w:rsidRDefault="008A180B" w:rsidP="008A180B">
            <w:pPr>
              <w:pStyle w:val="Tabellinnehllvnster"/>
              <w:tabs>
                <w:tab w:val="left" w:pos="176"/>
              </w:tabs>
              <w:ind w:left="176"/>
              <w:rPr>
                <w:rFonts w:eastAsia="Times New Roman"/>
                <w:b/>
                <w:lang w:val="sv-SE"/>
              </w:rPr>
            </w:pPr>
            <w:r>
              <w:rPr>
                <w:rFonts w:eastAsia="Times New Roman"/>
                <w:b/>
                <w:lang w:val="sv-SE"/>
              </w:rPr>
              <w:t>Cirka 1 000</w:t>
            </w:r>
          </w:p>
        </w:tc>
        <w:tc>
          <w:tcPr>
            <w:tcW w:w="1417" w:type="dxa"/>
            <w:tcBorders>
              <w:top w:val="nil"/>
              <w:bottom w:val="nil"/>
            </w:tcBorders>
            <w:shd w:val="clear" w:color="auto" w:fill="auto"/>
          </w:tcPr>
          <w:p w:rsidR="008A180B" w:rsidRPr="00EF683B" w:rsidRDefault="008A180B" w:rsidP="008A180B">
            <w:pPr>
              <w:pStyle w:val="Tabellinnehllvnster"/>
              <w:tabs>
                <w:tab w:val="left" w:pos="176"/>
              </w:tabs>
              <w:ind w:left="176"/>
              <w:rPr>
                <w:rFonts w:eastAsia="Times New Roman"/>
                <w:b/>
                <w:lang w:val="sv-SE"/>
              </w:rPr>
            </w:pPr>
            <w:r w:rsidRPr="00EF683B">
              <w:rPr>
                <w:rFonts w:eastAsia="Times New Roman"/>
                <w:b/>
                <w:lang w:val="sv-SE"/>
              </w:rPr>
              <w:t>10 jun</w:t>
            </w:r>
            <w:r>
              <w:rPr>
                <w:rFonts w:eastAsia="Times New Roman"/>
                <w:b/>
                <w:lang w:val="sv-SE"/>
              </w:rPr>
              <w:t>i</w:t>
            </w:r>
          </w:p>
        </w:tc>
      </w:tr>
      <w:tr w:rsidR="008A180B" w:rsidRPr="00EF683B" w:rsidTr="008A180B">
        <w:tc>
          <w:tcPr>
            <w:tcW w:w="3400" w:type="dxa"/>
            <w:tcBorders>
              <w:top w:val="nil"/>
              <w:left w:val="single" w:sz="4" w:space="0" w:color="auto"/>
              <w:bottom w:val="nil"/>
            </w:tcBorders>
            <w:shd w:val="clear" w:color="auto" w:fill="FBD4B4" w:themeFill="accent6" w:themeFillTint="66"/>
          </w:tcPr>
          <w:p w:rsidR="008A180B" w:rsidRPr="00EF683B" w:rsidRDefault="008A180B" w:rsidP="008A180B">
            <w:pPr>
              <w:pStyle w:val="Tabellinnehllvnster"/>
              <w:tabs>
                <w:tab w:val="left" w:pos="176"/>
              </w:tabs>
              <w:ind w:left="176"/>
              <w:rPr>
                <w:rFonts w:eastAsia="Times New Roman"/>
                <w:b/>
                <w:lang w:val="sv-SE"/>
              </w:rPr>
            </w:pPr>
            <w:r w:rsidRPr="00EF683B">
              <w:rPr>
                <w:rFonts w:eastAsia="Times New Roman"/>
                <w:b/>
                <w:lang w:val="sv-SE"/>
              </w:rPr>
              <w:t>22. Almega Tjänsteföretagen, Tjänsteförbunden och Mediaföretagen ./. Handelsanställdas förbund</w:t>
            </w:r>
          </w:p>
        </w:tc>
        <w:tc>
          <w:tcPr>
            <w:tcW w:w="2406" w:type="dxa"/>
            <w:tcBorders>
              <w:top w:val="nil"/>
              <w:bottom w:val="nil"/>
            </w:tcBorders>
            <w:shd w:val="clear" w:color="auto" w:fill="FBD4B4" w:themeFill="accent6" w:themeFillTint="66"/>
          </w:tcPr>
          <w:p w:rsidR="008A180B" w:rsidRPr="00EF683B" w:rsidRDefault="008A180B" w:rsidP="008A180B">
            <w:pPr>
              <w:pStyle w:val="Tabellinnehllvnster"/>
              <w:tabs>
                <w:tab w:val="left" w:pos="176"/>
              </w:tabs>
              <w:ind w:left="176"/>
              <w:rPr>
                <w:rFonts w:eastAsia="Times New Roman"/>
                <w:b/>
                <w:lang w:val="sv-SE"/>
              </w:rPr>
            </w:pPr>
            <w:r w:rsidRPr="00EF683B">
              <w:rPr>
                <w:rFonts w:eastAsia="Times New Roman"/>
                <w:b/>
                <w:lang w:val="sv-SE"/>
              </w:rPr>
              <w:t>Erland Olauson</w:t>
            </w:r>
            <w:r w:rsidRPr="00EF683B">
              <w:rPr>
                <w:rFonts w:eastAsia="Times New Roman"/>
                <w:b/>
                <w:lang w:val="sv-SE"/>
              </w:rPr>
              <w:br/>
              <w:t>Göran Ekström</w:t>
            </w:r>
          </w:p>
        </w:tc>
        <w:tc>
          <w:tcPr>
            <w:tcW w:w="2265" w:type="dxa"/>
            <w:tcBorders>
              <w:top w:val="nil"/>
              <w:bottom w:val="nil"/>
            </w:tcBorders>
            <w:shd w:val="clear" w:color="auto" w:fill="FBD4B4" w:themeFill="accent6" w:themeFillTint="66"/>
          </w:tcPr>
          <w:p w:rsidR="008A180B" w:rsidRPr="00EF683B" w:rsidRDefault="008A180B" w:rsidP="008A180B">
            <w:pPr>
              <w:pStyle w:val="Tabellinnehllvnster"/>
              <w:tabs>
                <w:tab w:val="left" w:pos="176"/>
              </w:tabs>
              <w:ind w:left="176"/>
              <w:rPr>
                <w:rFonts w:eastAsia="Times New Roman"/>
                <w:b/>
                <w:lang w:val="sv-SE"/>
              </w:rPr>
            </w:pPr>
            <w:r w:rsidRPr="00EF683B">
              <w:rPr>
                <w:rFonts w:eastAsia="Times New Roman"/>
                <w:b/>
                <w:lang w:val="sv-SE"/>
              </w:rPr>
              <w:t>Lagerpersonal och chaufförer, Lagring och distribution, Fryshus</w:t>
            </w:r>
          </w:p>
        </w:tc>
        <w:tc>
          <w:tcPr>
            <w:tcW w:w="1417" w:type="dxa"/>
            <w:tcBorders>
              <w:top w:val="nil"/>
              <w:bottom w:val="nil"/>
            </w:tcBorders>
            <w:shd w:val="clear" w:color="auto" w:fill="FBD4B4" w:themeFill="accent6" w:themeFillTint="66"/>
          </w:tcPr>
          <w:p w:rsidR="008A180B" w:rsidRPr="00EF683B" w:rsidRDefault="008A180B" w:rsidP="008A180B">
            <w:pPr>
              <w:pStyle w:val="Tabellinnehllvnster"/>
              <w:tabs>
                <w:tab w:val="left" w:pos="176"/>
              </w:tabs>
              <w:ind w:left="176"/>
              <w:rPr>
                <w:rFonts w:eastAsia="Times New Roman"/>
                <w:b/>
                <w:lang w:val="sv-SE"/>
              </w:rPr>
            </w:pPr>
            <w:r w:rsidRPr="00EF683B">
              <w:rPr>
                <w:rFonts w:eastAsia="Times New Roman"/>
                <w:b/>
                <w:lang w:val="sv-SE"/>
              </w:rPr>
              <w:t>Ja</w:t>
            </w:r>
          </w:p>
        </w:tc>
        <w:tc>
          <w:tcPr>
            <w:tcW w:w="1558" w:type="dxa"/>
            <w:tcBorders>
              <w:top w:val="nil"/>
              <w:bottom w:val="nil"/>
            </w:tcBorders>
            <w:shd w:val="clear" w:color="auto" w:fill="FBD4B4" w:themeFill="accent6" w:themeFillTint="66"/>
          </w:tcPr>
          <w:p w:rsidR="008A180B" w:rsidRPr="00EF683B" w:rsidRDefault="008A180B" w:rsidP="008A180B">
            <w:pPr>
              <w:pStyle w:val="Tabellinnehllvnster"/>
              <w:tabs>
                <w:tab w:val="left" w:pos="176"/>
              </w:tabs>
              <w:ind w:left="176"/>
              <w:rPr>
                <w:rFonts w:eastAsia="Times New Roman"/>
                <w:b/>
                <w:lang w:val="sv-SE"/>
              </w:rPr>
            </w:pPr>
            <w:r>
              <w:rPr>
                <w:rFonts w:eastAsia="Times New Roman"/>
                <w:b/>
                <w:lang w:val="sv-SE"/>
              </w:rPr>
              <w:t>-</w:t>
            </w:r>
          </w:p>
        </w:tc>
        <w:tc>
          <w:tcPr>
            <w:tcW w:w="1416" w:type="dxa"/>
            <w:tcBorders>
              <w:top w:val="nil"/>
              <w:bottom w:val="nil"/>
            </w:tcBorders>
            <w:shd w:val="clear" w:color="auto" w:fill="FBD4B4" w:themeFill="accent6" w:themeFillTint="66"/>
          </w:tcPr>
          <w:p w:rsidR="008A180B" w:rsidRPr="00EF683B" w:rsidRDefault="008A180B" w:rsidP="008A180B">
            <w:pPr>
              <w:pStyle w:val="Tabellinnehllvnster"/>
              <w:tabs>
                <w:tab w:val="left" w:pos="176"/>
              </w:tabs>
              <w:ind w:left="176"/>
              <w:rPr>
                <w:rFonts w:eastAsia="Times New Roman"/>
                <w:b/>
                <w:lang w:val="sv-SE"/>
              </w:rPr>
            </w:pPr>
            <w:r w:rsidRPr="00EF683B">
              <w:rPr>
                <w:rFonts w:eastAsia="Times New Roman"/>
                <w:b/>
                <w:lang w:val="sv-SE"/>
              </w:rPr>
              <w:t>-</w:t>
            </w:r>
          </w:p>
        </w:tc>
        <w:tc>
          <w:tcPr>
            <w:tcW w:w="1714" w:type="dxa"/>
            <w:tcBorders>
              <w:top w:val="nil"/>
              <w:bottom w:val="nil"/>
            </w:tcBorders>
            <w:shd w:val="clear" w:color="auto" w:fill="FBD4B4" w:themeFill="accent6" w:themeFillTint="66"/>
          </w:tcPr>
          <w:p w:rsidR="008A180B" w:rsidRPr="00EF683B" w:rsidRDefault="008A180B" w:rsidP="008A180B">
            <w:pPr>
              <w:pStyle w:val="Tabellinnehllvnster"/>
              <w:tabs>
                <w:tab w:val="left" w:pos="176"/>
              </w:tabs>
              <w:ind w:left="176"/>
              <w:rPr>
                <w:rFonts w:eastAsia="Times New Roman"/>
                <w:b/>
                <w:lang w:val="sv-SE"/>
              </w:rPr>
            </w:pPr>
            <w:r w:rsidRPr="00EF683B">
              <w:rPr>
                <w:rFonts w:eastAsia="Times New Roman"/>
                <w:b/>
                <w:lang w:val="sv-SE"/>
              </w:rPr>
              <w:t>-</w:t>
            </w:r>
          </w:p>
        </w:tc>
        <w:tc>
          <w:tcPr>
            <w:tcW w:w="1417" w:type="dxa"/>
            <w:tcBorders>
              <w:top w:val="nil"/>
              <w:bottom w:val="nil"/>
            </w:tcBorders>
            <w:shd w:val="clear" w:color="auto" w:fill="FBD4B4" w:themeFill="accent6" w:themeFillTint="66"/>
          </w:tcPr>
          <w:p w:rsidR="008A180B" w:rsidRPr="00EF683B" w:rsidRDefault="008A180B" w:rsidP="008A180B">
            <w:pPr>
              <w:pStyle w:val="Tabellinnehllvnster"/>
              <w:tabs>
                <w:tab w:val="left" w:pos="176"/>
              </w:tabs>
              <w:ind w:left="176"/>
              <w:rPr>
                <w:rFonts w:eastAsia="Times New Roman"/>
                <w:b/>
                <w:lang w:val="sv-SE"/>
              </w:rPr>
            </w:pPr>
            <w:r w:rsidRPr="00EF683B">
              <w:rPr>
                <w:rFonts w:eastAsia="Times New Roman"/>
                <w:b/>
                <w:lang w:val="sv-SE"/>
              </w:rPr>
              <w:t>19 jun</w:t>
            </w:r>
            <w:r>
              <w:rPr>
                <w:rFonts w:eastAsia="Times New Roman"/>
                <w:b/>
                <w:lang w:val="sv-SE"/>
              </w:rPr>
              <w:t>i</w:t>
            </w:r>
          </w:p>
        </w:tc>
      </w:tr>
      <w:tr w:rsidR="008A180B" w:rsidRPr="00EF683B" w:rsidTr="008A180B">
        <w:tc>
          <w:tcPr>
            <w:tcW w:w="3400" w:type="dxa"/>
            <w:tcBorders>
              <w:top w:val="nil"/>
              <w:left w:val="single" w:sz="4" w:space="0" w:color="auto"/>
              <w:bottom w:val="nil"/>
            </w:tcBorders>
            <w:shd w:val="clear" w:color="auto" w:fill="auto"/>
          </w:tcPr>
          <w:p w:rsidR="008A180B" w:rsidRPr="00EF683B" w:rsidRDefault="008A180B" w:rsidP="008A180B">
            <w:pPr>
              <w:pStyle w:val="Tabellinnehllvnster"/>
              <w:tabs>
                <w:tab w:val="left" w:pos="176"/>
              </w:tabs>
              <w:ind w:left="176"/>
              <w:rPr>
                <w:rFonts w:eastAsia="Times New Roman"/>
                <w:b/>
                <w:lang w:val="sv-SE"/>
              </w:rPr>
            </w:pPr>
            <w:r w:rsidRPr="00EF683B">
              <w:rPr>
                <w:rFonts w:eastAsia="Times New Roman"/>
                <w:b/>
                <w:lang w:val="sv-SE"/>
              </w:rPr>
              <w:t>23. Sveriges Hamnar./.</w:t>
            </w:r>
          </w:p>
          <w:p w:rsidR="008A180B" w:rsidRPr="00EF683B" w:rsidRDefault="008A180B" w:rsidP="008A180B">
            <w:pPr>
              <w:pStyle w:val="Tabellinnehllvnster"/>
              <w:tabs>
                <w:tab w:val="left" w:pos="176"/>
              </w:tabs>
              <w:ind w:left="176"/>
              <w:rPr>
                <w:rFonts w:eastAsia="Times New Roman"/>
                <w:b/>
                <w:lang w:val="sv-SE"/>
              </w:rPr>
            </w:pPr>
            <w:r w:rsidRPr="00EF683B">
              <w:rPr>
                <w:rFonts w:eastAsia="Times New Roman"/>
                <w:b/>
                <w:lang w:val="sv-SE"/>
              </w:rPr>
              <w:t>Svenska Transportarbetareförbundet</w:t>
            </w:r>
          </w:p>
        </w:tc>
        <w:tc>
          <w:tcPr>
            <w:tcW w:w="2406" w:type="dxa"/>
            <w:tcBorders>
              <w:top w:val="nil"/>
              <w:bottom w:val="nil"/>
            </w:tcBorders>
            <w:shd w:val="clear" w:color="auto" w:fill="auto"/>
          </w:tcPr>
          <w:p w:rsidR="008A180B" w:rsidRPr="00EF683B" w:rsidRDefault="008A180B" w:rsidP="008A180B">
            <w:pPr>
              <w:pStyle w:val="Tabellinnehllvnster"/>
              <w:tabs>
                <w:tab w:val="left" w:pos="176"/>
              </w:tabs>
              <w:ind w:left="176"/>
              <w:rPr>
                <w:rFonts w:eastAsia="Times New Roman"/>
                <w:b/>
                <w:lang w:val="sv-SE"/>
              </w:rPr>
            </w:pPr>
            <w:r w:rsidRPr="00EF683B">
              <w:rPr>
                <w:rFonts w:eastAsia="Times New Roman"/>
                <w:b/>
                <w:lang w:val="sv-SE"/>
              </w:rPr>
              <w:t>Jan Sjölin</w:t>
            </w:r>
            <w:r w:rsidRPr="00EF683B">
              <w:rPr>
                <w:rFonts w:eastAsia="Times New Roman"/>
                <w:b/>
                <w:lang w:val="sv-SE"/>
              </w:rPr>
              <w:br/>
              <w:t>Anders Forsberg</w:t>
            </w:r>
          </w:p>
        </w:tc>
        <w:tc>
          <w:tcPr>
            <w:tcW w:w="2265" w:type="dxa"/>
            <w:tcBorders>
              <w:top w:val="nil"/>
              <w:bottom w:val="nil"/>
            </w:tcBorders>
            <w:shd w:val="clear" w:color="auto" w:fill="auto"/>
          </w:tcPr>
          <w:p w:rsidR="008A180B" w:rsidRPr="00EF683B" w:rsidRDefault="008A180B" w:rsidP="008A180B">
            <w:pPr>
              <w:pStyle w:val="Tabellinnehllvnster"/>
              <w:tabs>
                <w:tab w:val="left" w:pos="176"/>
              </w:tabs>
              <w:ind w:left="176"/>
              <w:rPr>
                <w:rFonts w:eastAsia="Times New Roman"/>
                <w:b/>
                <w:lang w:val="sv-SE"/>
              </w:rPr>
            </w:pPr>
            <w:r w:rsidRPr="00EF683B">
              <w:rPr>
                <w:rFonts w:eastAsia="Times New Roman"/>
                <w:b/>
                <w:lang w:val="sv-SE"/>
              </w:rPr>
              <w:t>Hamn- och Stuveriavtalet</w:t>
            </w:r>
          </w:p>
        </w:tc>
        <w:tc>
          <w:tcPr>
            <w:tcW w:w="1417" w:type="dxa"/>
            <w:tcBorders>
              <w:top w:val="nil"/>
              <w:bottom w:val="nil"/>
            </w:tcBorders>
            <w:shd w:val="clear" w:color="auto" w:fill="auto"/>
          </w:tcPr>
          <w:p w:rsidR="008A180B" w:rsidRPr="00EF683B" w:rsidRDefault="008A180B" w:rsidP="008A180B">
            <w:pPr>
              <w:pStyle w:val="Tabellinnehllvnster"/>
              <w:tabs>
                <w:tab w:val="left" w:pos="176"/>
              </w:tabs>
              <w:ind w:left="176"/>
              <w:rPr>
                <w:rFonts w:eastAsia="Times New Roman"/>
                <w:b/>
                <w:lang w:val="sv-SE"/>
              </w:rPr>
            </w:pPr>
            <w:r w:rsidRPr="00EF683B">
              <w:rPr>
                <w:rFonts w:eastAsia="Times New Roman"/>
                <w:b/>
                <w:lang w:val="sv-SE"/>
              </w:rPr>
              <w:t>Ja</w:t>
            </w:r>
          </w:p>
        </w:tc>
        <w:tc>
          <w:tcPr>
            <w:tcW w:w="1558" w:type="dxa"/>
            <w:tcBorders>
              <w:top w:val="nil"/>
              <w:bottom w:val="nil"/>
            </w:tcBorders>
          </w:tcPr>
          <w:p w:rsidR="008A180B" w:rsidRPr="00EF683B" w:rsidRDefault="008A180B" w:rsidP="008A180B">
            <w:pPr>
              <w:pStyle w:val="Tabellinnehllvnster"/>
              <w:tabs>
                <w:tab w:val="left" w:pos="176"/>
              </w:tabs>
              <w:ind w:left="176"/>
              <w:rPr>
                <w:rFonts w:eastAsia="Times New Roman"/>
                <w:b/>
                <w:lang w:val="sv-SE"/>
              </w:rPr>
            </w:pPr>
            <w:r>
              <w:rPr>
                <w:rFonts w:eastAsia="Times New Roman"/>
                <w:b/>
                <w:lang w:val="sv-SE"/>
              </w:rPr>
              <w:t>Ja</w:t>
            </w:r>
          </w:p>
        </w:tc>
        <w:tc>
          <w:tcPr>
            <w:tcW w:w="1416" w:type="dxa"/>
            <w:tcBorders>
              <w:top w:val="nil"/>
              <w:bottom w:val="nil"/>
            </w:tcBorders>
            <w:shd w:val="clear" w:color="auto" w:fill="auto"/>
          </w:tcPr>
          <w:p w:rsidR="008A180B" w:rsidRPr="00EF683B" w:rsidRDefault="008A180B" w:rsidP="008A180B">
            <w:pPr>
              <w:pStyle w:val="Tabellinnehllvnster"/>
              <w:tabs>
                <w:tab w:val="left" w:pos="176"/>
              </w:tabs>
              <w:ind w:left="176"/>
              <w:rPr>
                <w:rFonts w:eastAsia="Times New Roman"/>
                <w:b/>
                <w:lang w:val="sv-SE"/>
              </w:rPr>
            </w:pPr>
            <w:r>
              <w:rPr>
                <w:rFonts w:eastAsia="Times New Roman"/>
                <w:b/>
                <w:lang w:val="sv-SE"/>
              </w:rPr>
              <w:t>27 september-28 september</w:t>
            </w:r>
          </w:p>
        </w:tc>
        <w:tc>
          <w:tcPr>
            <w:tcW w:w="1714" w:type="dxa"/>
            <w:tcBorders>
              <w:top w:val="nil"/>
              <w:bottom w:val="nil"/>
            </w:tcBorders>
            <w:shd w:val="clear" w:color="auto" w:fill="auto"/>
          </w:tcPr>
          <w:p w:rsidR="008A180B" w:rsidRPr="00EF683B" w:rsidRDefault="008A180B" w:rsidP="008A180B">
            <w:pPr>
              <w:pStyle w:val="Tabellinnehllvnster"/>
              <w:tabs>
                <w:tab w:val="left" w:pos="176"/>
              </w:tabs>
              <w:ind w:left="176"/>
              <w:rPr>
                <w:rFonts w:eastAsia="Times New Roman"/>
                <w:b/>
                <w:lang w:val="sv-SE"/>
              </w:rPr>
            </w:pPr>
            <w:r>
              <w:rPr>
                <w:rFonts w:eastAsia="Times New Roman"/>
                <w:b/>
                <w:lang w:val="sv-SE"/>
              </w:rPr>
              <w:t>-</w:t>
            </w:r>
          </w:p>
        </w:tc>
        <w:tc>
          <w:tcPr>
            <w:tcW w:w="1417" w:type="dxa"/>
            <w:tcBorders>
              <w:top w:val="nil"/>
              <w:bottom w:val="nil"/>
            </w:tcBorders>
            <w:shd w:val="clear" w:color="auto" w:fill="auto"/>
          </w:tcPr>
          <w:p w:rsidR="008A180B" w:rsidRPr="00EF683B" w:rsidRDefault="008A180B" w:rsidP="008A180B">
            <w:pPr>
              <w:pStyle w:val="Tabellinnehllvnster"/>
              <w:tabs>
                <w:tab w:val="left" w:pos="176"/>
              </w:tabs>
              <w:ind w:left="176"/>
              <w:rPr>
                <w:rFonts w:eastAsia="Times New Roman"/>
                <w:b/>
                <w:lang w:val="sv-SE"/>
              </w:rPr>
            </w:pPr>
            <w:r>
              <w:rPr>
                <w:rFonts w:eastAsia="Times New Roman"/>
                <w:b/>
                <w:lang w:val="sv-SE"/>
              </w:rPr>
              <w:t>28 september</w:t>
            </w:r>
          </w:p>
        </w:tc>
      </w:tr>
      <w:tr w:rsidR="008A180B" w:rsidRPr="00EF683B" w:rsidTr="008A180B">
        <w:tc>
          <w:tcPr>
            <w:tcW w:w="3400" w:type="dxa"/>
            <w:tcBorders>
              <w:top w:val="nil"/>
              <w:left w:val="single" w:sz="4" w:space="0" w:color="auto"/>
              <w:bottom w:val="nil"/>
            </w:tcBorders>
            <w:shd w:val="clear" w:color="auto" w:fill="FBD4B4" w:themeFill="accent6" w:themeFillTint="66"/>
          </w:tcPr>
          <w:p w:rsidR="008A180B" w:rsidRDefault="008A180B" w:rsidP="008A180B">
            <w:pPr>
              <w:pStyle w:val="Tabellinnehllvnster"/>
              <w:tabs>
                <w:tab w:val="left" w:pos="176"/>
              </w:tabs>
              <w:ind w:left="176"/>
              <w:rPr>
                <w:rFonts w:eastAsia="Times New Roman"/>
                <w:b/>
                <w:lang w:val="sv-SE"/>
              </w:rPr>
            </w:pPr>
            <w:r>
              <w:rPr>
                <w:rFonts w:eastAsia="Times New Roman"/>
                <w:b/>
                <w:lang w:val="sv-SE"/>
              </w:rPr>
              <w:t>24. IDEA – Arbetsgivarförbundet för ideella organisationer./.</w:t>
            </w:r>
          </w:p>
          <w:p w:rsidR="008A180B" w:rsidRPr="00EF683B" w:rsidRDefault="008A180B" w:rsidP="008A180B">
            <w:pPr>
              <w:pStyle w:val="Tabellinnehllvnster"/>
              <w:tabs>
                <w:tab w:val="left" w:pos="176"/>
              </w:tabs>
              <w:ind w:left="176"/>
              <w:rPr>
                <w:rFonts w:eastAsia="Times New Roman"/>
                <w:b/>
                <w:lang w:val="sv-SE"/>
              </w:rPr>
            </w:pPr>
            <w:r>
              <w:rPr>
                <w:rFonts w:eastAsia="Times New Roman"/>
                <w:b/>
                <w:lang w:val="sv-SE"/>
              </w:rPr>
              <w:t>Fastighetsanställdas Förbund</w:t>
            </w:r>
          </w:p>
        </w:tc>
        <w:tc>
          <w:tcPr>
            <w:tcW w:w="2406" w:type="dxa"/>
            <w:tcBorders>
              <w:top w:val="nil"/>
              <w:bottom w:val="nil"/>
            </w:tcBorders>
            <w:shd w:val="clear" w:color="auto" w:fill="FBD4B4" w:themeFill="accent6" w:themeFillTint="66"/>
          </w:tcPr>
          <w:p w:rsidR="008A180B" w:rsidRDefault="008A180B" w:rsidP="008A180B">
            <w:pPr>
              <w:pStyle w:val="Tabellinnehllvnster"/>
              <w:tabs>
                <w:tab w:val="left" w:pos="176"/>
              </w:tabs>
              <w:ind w:left="176"/>
              <w:rPr>
                <w:rFonts w:eastAsia="Times New Roman"/>
                <w:b/>
                <w:lang w:val="sv-SE"/>
              </w:rPr>
            </w:pPr>
            <w:r>
              <w:rPr>
                <w:rFonts w:eastAsia="Times New Roman"/>
                <w:b/>
                <w:lang w:val="sv-SE"/>
              </w:rPr>
              <w:t>Gunilla Runnquist</w:t>
            </w:r>
          </w:p>
          <w:p w:rsidR="008A180B" w:rsidRPr="00EF683B" w:rsidRDefault="008A180B" w:rsidP="008A180B">
            <w:pPr>
              <w:pStyle w:val="Tabellinnehllvnster"/>
              <w:tabs>
                <w:tab w:val="left" w:pos="176"/>
              </w:tabs>
              <w:ind w:left="176"/>
              <w:rPr>
                <w:rFonts w:eastAsia="Times New Roman"/>
                <w:b/>
                <w:lang w:val="sv-SE"/>
              </w:rPr>
            </w:pPr>
            <w:r>
              <w:rPr>
                <w:rFonts w:eastAsia="Times New Roman"/>
                <w:b/>
                <w:lang w:val="sv-SE"/>
              </w:rPr>
              <w:t>Bengt Huldt</w:t>
            </w:r>
          </w:p>
        </w:tc>
        <w:tc>
          <w:tcPr>
            <w:tcW w:w="2265" w:type="dxa"/>
            <w:tcBorders>
              <w:top w:val="nil"/>
              <w:bottom w:val="nil"/>
            </w:tcBorders>
            <w:shd w:val="clear" w:color="auto" w:fill="FBD4B4" w:themeFill="accent6" w:themeFillTint="66"/>
          </w:tcPr>
          <w:p w:rsidR="008A180B" w:rsidRPr="00EF683B" w:rsidRDefault="008A180B" w:rsidP="008A180B">
            <w:pPr>
              <w:pStyle w:val="Tabellinnehllvnster"/>
              <w:tabs>
                <w:tab w:val="left" w:pos="176"/>
              </w:tabs>
              <w:ind w:left="176"/>
              <w:rPr>
                <w:rFonts w:eastAsia="Times New Roman"/>
                <w:b/>
                <w:lang w:val="sv-SE"/>
              </w:rPr>
            </w:pPr>
            <w:r>
              <w:rPr>
                <w:rFonts w:eastAsia="Times New Roman"/>
                <w:b/>
                <w:lang w:val="sv-SE"/>
              </w:rPr>
              <w:t>Fastighetsarbete</w:t>
            </w:r>
          </w:p>
        </w:tc>
        <w:tc>
          <w:tcPr>
            <w:tcW w:w="1417" w:type="dxa"/>
            <w:tcBorders>
              <w:top w:val="nil"/>
              <w:bottom w:val="nil"/>
            </w:tcBorders>
            <w:shd w:val="clear" w:color="auto" w:fill="FBD4B4" w:themeFill="accent6" w:themeFillTint="66"/>
          </w:tcPr>
          <w:p w:rsidR="008A180B" w:rsidRPr="00EF683B" w:rsidRDefault="008A180B" w:rsidP="008A180B">
            <w:pPr>
              <w:pStyle w:val="Tabellinnehllvnster"/>
              <w:tabs>
                <w:tab w:val="left" w:pos="176"/>
              </w:tabs>
              <w:ind w:left="176"/>
              <w:rPr>
                <w:rFonts w:eastAsia="Times New Roman"/>
                <w:b/>
                <w:lang w:val="sv-SE"/>
              </w:rPr>
            </w:pPr>
            <w:r>
              <w:rPr>
                <w:rFonts w:eastAsia="Times New Roman"/>
                <w:b/>
                <w:lang w:val="sv-SE"/>
              </w:rPr>
              <w:t>Ja</w:t>
            </w:r>
          </w:p>
        </w:tc>
        <w:tc>
          <w:tcPr>
            <w:tcW w:w="1558" w:type="dxa"/>
            <w:tcBorders>
              <w:top w:val="nil"/>
              <w:bottom w:val="nil"/>
            </w:tcBorders>
            <w:shd w:val="clear" w:color="auto" w:fill="FBD4B4" w:themeFill="accent6" w:themeFillTint="66"/>
          </w:tcPr>
          <w:p w:rsidR="008A180B" w:rsidRDefault="008A180B" w:rsidP="008A180B">
            <w:pPr>
              <w:pStyle w:val="Tabellinnehllvnster"/>
              <w:tabs>
                <w:tab w:val="left" w:pos="176"/>
              </w:tabs>
              <w:ind w:left="176"/>
              <w:rPr>
                <w:rFonts w:eastAsia="Times New Roman"/>
                <w:b/>
                <w:lang w:val="sv-SE"/>
              </w:rPr>
            </w:pPr>
            <w:r>
              <w:rPr>
                <w:rFonts w:eastAsia="Times New Roman"/>
                <w:b/>
                <w:lang w:val="sv-SE"/>
              </w:rPr>
              <w:t>-</w:t>
            </w:r>
          </w:p>
        </w:tc>
        <w:tc>
          <w:tcPr>
            <w:tcW w:w="1416" w:type="dxa"/>
            <w:tcBorders>
              <w:top w:val="nil"/>
              <w:bottom w:val="nil"/>
            </w:tcBorders>
            <w:shd w:val="clear" w:color="auto" w:fill="FBD4B4" w:themeFill="accent6" w:themeFillTint="66"/>
          </w:tcPr>
          <w:p w:rsidR="008A180B" w:rsidRDefault="008A180B" w:rsidP="008A180B">
            <w:pPr>
              <w:pStyle w:val="Tabellinnehllvnster"/>
              <w:tabs>
                <w:tab w:val="left" w:pos="176"/>
              </w:tabs>
              <w:ind w:left="176"/>
              <w:rPr>
                <w:rFonts w:eastAsia="Times New Roman"/>
                <w:b/>
                <w:lang w:val="sv-SE"/>
              </w:rPr>
            </w:pPr>
            <w:r>
              <w:rPr>
                <w:rFonts w:eastAsia="Times New Roman"/>
                <w:b/>
                <w:lang w:val="sv-SE"/>
              </w:rPr>
              <w:t>-</w:t>
            </w:r>
          </w:p>
        </w:tc>
        <w:tc>
          <w:tcPr>
            <w:tcW w:w="1714" w:type="dxa"/>
            <w:tcBorders>
              <w:top w:val="nil"/>
              <w:bottom w:val="nil"/>
            </w:tcBorders>
            <w:shd w:val="clear" w:color="auto" w:fill="FBD4B4" w:themeFill="accent6" w:themeFillTint="66"/>
          </w:tcPr>
          <w:p w:rsidR="008A180B" w:rsidRDefault="008A180B" w:rsidP="008A180B">
            <w:pPr>
              <w:pStyle w:val="Tabellinnehllvnster"/>
              <w:tabs>
                <w:tab w:val="left" w:pos="176"/>
              </w:tabs>
              <w:ind w:left="176"/>
              <w:rPr>
                <w:rFonts w:eastAsia="Times New Roman"/>
                <w:b/>
                <w:lang w:val="sv-SE"/>
              </w:rPr>
            </w:pPr>
            <w:r>
              <w:rPr>
                <w:rFonts w:eastAsia="Times New Roman"/>
                <w:b/>
                <w:lang w:val="sv-SE"/>
              </w:rPr>
              <w:t>-</w:t>
            </w:r>
          </w:p>
        </w:tc>
        <w:tc>
          <w:tcPr>
            <w:tcW w:w="1417" w:type="dxa"/>
            <w:tcBorders>
              <w:top w:val="nil"/>
              <w:bottom w:val="nil"/>
            </w:tcBorders>
            <w:shd w:val="clear" w:color="auto" w:fill="FBD4B4" w:themeFill="accent6" w:themeFillTint="66"/>
          </w:tcPr>
          <w:p w:rsidR="008A180B" w:rsidRDefault="008A180B" w:rsidP="008A180B">
            <w:pPr>
              <w:pStyle w:val="Tabellinnehllvnster"/>
              <w:tabs>
                <w:tab w:val="left" w:pos="176"/>
              </w:tabs>
              <w:ind w:left="176"/>
              <w:rPr>
                <w:rFonts w:eastAsia="Times New Roman"/>
                <w:b/>
                <w:lang w:val="sv-SE"/>
              </w:rPr>
            </w:pPr>
            <w:r>
              <w:rPr>
                <w:rFonts w:eastAsia="Times New Roman"/>
                <w:b/>
                <w:lang w:val="sv-SE"/>
              </w:rPr>
              <w:t>18 oktober</w:t>
            </w:r>
          </w:p>
        </w:tc>
      </w:tr>
      <w:tr w:rsidR="008A180B" w:rsidRPr="00EF683B" w:rsidTr="008A180B">
        <w:tc>
          <w:tcPr>
            <w:tcW w:w="3400" w:type="dxa"/>
            <w:tcBorders>
              <w:top w:val="nil"/>
              <w:left w:val="single" w:sz="4" w:space="0" w:color="auto"/>
              <w:bottom w:val="nil"/>
            </w:tcBorders>
            <w:shd w:val="clear" w:color="auto" w:fill="FFFFFF" w:themeFill="background1"/>
          </w:tcPr>
          <w:p w:rsidR="008A180B" w:rsidRDefault="008A180B" w:rsidP="008A180B">
            <w:pPr>
              <w:pStyle w:val="Tabellinnehllvnster"/>
              <w:tabs>
                <w:tab w:val="left" w:pos="176"/>
              </w:tabs>
              <w:ind w:left="176"/>
              <w:rPr>
                <w:rFonts w:eastAsia="Times New Roman"/>
                <w:b/>
                <w:lang w:val="sv-SE"/>
              </w:rPr>
            </w:pPr>
            <w:r>
              <w:rPr>
                <w:rFonts w:eastAsia="Times New Roman"/>
                <w:b/>
                <w:lang w:val="sv-SE"/>
              </w:rPr>
              <w:t>25. Almega Tjänsteföretagen./.</w:t>
            </w:r>
          </w:p>
          <w:p w:rsidR="008A180B" w:rsidRDefault="008A180B" w:rsidP="008A180B">
            <w:pPr>
              <w:pStyle w:val="Tabellinnehllvnster"/>
              <w:tabs>
                <w:tab w:val="left" w:pos="176"/>
              </w:tabs>
              <w:ind w:left="176"/>
              <w:rPr>
                <w:rFonts w:eastAsia="Times New Roman"/>
                <w:b/>
                <w:lang w:val="sv-SE"/>
              </w:rPr>
            </w:pPr>
            <w:r w:rsidRPr="00EF683B">
              <w:rPr>
                <w:rFonts w:eastAsia="Times New Roman"/>
                <w:b/>
                <w:lang w:val="sv-SE"/>
              </w:rPr>
              <w:t>SEKO – Facket för Service och Kommunikation</w:t>
            </w:r>
          </w:p>
        </w:tc>
        <w:tc>
          <w:tcPr>
            <w:tcW w:w="2406" w:type="dxa"/>
            <w:tcBorders>
              <w:top w:val="nil"/>
              <w:bottom w:val="nil"/>
            </w:tcBorders>
            <w:shd w:val="clear" w:color="auto" w:fill="FFFFFF" w:themeFill="background1"/>
          </w:tcPr>
          <w:p w:rsidR="008A180B" w:rsidRDefault="008A180B" w:rsidP="008A180B">
            <w:pPr>
              <w:pStyle w:val="Tabellinnehllvnster"/>
              <w:tabs>
                <w:tab w:val="left" w:pos="176"/>
              </w:tabs>
              <w:ind w:left="176"/>
              <w:rPr>
                <w:rFonts w:eastAsia="Times New Roman"/>
                <w:b/>
                <w:lang w:val="sv-SE"/>
              </w:rPr>
            </w:pPr>
            <w:r>
              <w:rPr>
                <w:rFonts w:eastAsia="Times New Roman"/>
                <w:b/>
                <w:lang w:val="sv-SE"/>
              </w:rPr>
              <w:t>Gunnar Samuelsson</w:t>
            </w:r>
          </w:p>
          <w:p w:rsidR="008A180B" w:rsidRDefault="008A180B" w:rsidP="008A180B">
            <w:pPr>
              <w:pStyle w:val="Tabellinnehllvnster"/>
              <w:tabs>
                <w:tab w:val="left" w:pos="176"/>
              </w:tabs>
              <w:ind w:left="176"/>
              <w:rPr>
                <w:rFonts w:eastAsia="Times New Roman"/>
                <w:b/>
                <w:lang w:val="sv-SE"/>
              </w:rPr>
            </w:pPr>
            <w:r>
              <w:rPr>
                <w:rFonts w:eastAsia="Times New Roman"/>
                <w:b/>
                <w:lang w:val="sv-SE"/>
              </w:rPr>
              <w:t>Malte Eriksson</w:t>
            </w:r>
          </w:p>
        </w:tc>
        <w:tc>
          <w:tcPr>
            <w:tcW w:w="2265" w:type="dxa"/>
            <w:tcBorders>
              <w:top w:val="nil"/>
              <w:bottom w:val="nil"/>
            </w:tcBorders>
            <w:shd w:val="clear" w:color="auto" w:fill="FFFFFF" w:themeFill="background1"/>
          </w:tcPr>
          <w:p w:rsidR="008A180B" w:rsidRDefault="008A180B" w:rsidP="008A180B">
            <w:pPr>
              <w:pStyle w:val="Tabellinnehllvnster"/>
              <w:tabs>
                <w:tab w:val="left" w:pos="176"/>
              </w:tabs>
              <w:ind w:left="176"/>
              <w:rPr>
                <w:rFonts w:eastAsia="Times New Roman"/>
                <w:b/>
                <w:lang w:val="sv-SE"/>
              </w:rPr>
            </w:pPr>
            <w:r>
              <w:rPr>
                <w:rFonts w:eastAsia="Times New Roman"/>
                <w:b/>
                <w:lang w:val="sv-SE"/>
              </w:rPr>
              <w:t>Skärgårdstrafik</w:t>
            </w:r>
          </w:p>
        </w:tc>
        <w:tc>
          <w:tcPr>
            <w:tcW w:w="1417" w:type="dxa"/>
            <w:tcBorders>
              <w:top w:val="nil"/>
              <w:bottom w:val="nil"/>
            </w:tcBorders>
            <w:shd w:val="clear" w:color="auto" w:fill="FFFFFF" w:themeFill="background1"/>
          </w:tcPr>
          <w:p w:rsidR="008A180B" w:rsidRDefault="008A180B" w:rsidP="008A180B">
            <w:pPr>
              <w:pStyle w:val="Tabellinnehllvnster"/>
              <w:tabs>
                <w:tab w:val="left" w:pos="176"/>
              </w:tabs>
              <w:ind w:left="176"/>
              <w:rPr>
                <w:rFonts w:eastAsia="Times New Roman"/>
                <w:b/>
                <w:lang w:val="sv-SE"/>
              </w:rPr>
            </w:pPr>
            <w:r>
              <w:rPr>
                <w:rFonts w:eastAsia="Times New Roman"/>
                <w:b/>
                <w:lang w:val="sv-SE"/>
              </w:rPr>
              <w:t>Ja</w:t>
            </w:r>
          </w:p>
        </w:tc>
        <w:tc>
          <w:tcPr>
            <w:tcW w:w="1558" w:type="dxa"/>
            <w:tcBorders>
              <w:top w:val="nil"/>
              <w:bottom w:val="nil"/>
            </w:tcBorders>
            <w:shd w:val="clear" w:color="auto" w:fill="FFFFFF" w:themeFill="background1"/>
          </w:tcPr>
          <w:p w:rsidR="008A180B" w:rsidRDefault="008A180B" w:rsidP="008A180B">
            <w:pPr>
              <w:pStyle w:val="Tabellinnehllvnster"/>
              <w:tabs>
                <w:tab w:val="left" w:pos="176"/>
              </w:tabs>
              <w:ind w:left="176"/>
              <w:rPr>
                <w:rFonts w:eastAsia="Times New Roman"/>
                <w:b/>
                <w:lang w:val="sv-SE"/>
              </w:rPr>
            </w:pPr>
            <w:r>
              <w:rPr>
                <w:rFonts w:eastAsia="Times New Roman"/>
                <w:b/>
                <w:lang w:val="sv-SE"/>
              </w:rPr>
              <w:t>-</w:t>
            </w:r>
          </w:p>
        </w:tc>
        <w:tc>
          <w:tcPr>
            <w:tcW w:w="1416" w:type="dxa"/>
            <w:tcBorders>
              <w:top w:val="nil"/>
              <w:bottom w:val="nil"/>
            </w:tcBorders>
            <w:shd w:val="clear" w:color="auto" w:fill="FFFFFF" w:themeFill="background1"/>
          </w:tcPr>
          <w:p w:rsidR="008A180B" w:rsidRDefault="008A180B" w:rsidP="008A180B">
            <w:pPr>
              <w:pStyle w:val="Tabellinnehllvnster"/>
              <w:tabs>
                <w:tab w:val="left" w:pos="176"/>
              </w:tabs>
              <w:ind w:left="176"/>
              <w:rPr>
                <w:rFonts w:eastAsia="Times New Roman"/>
                <w:b/>
                <w:lang w:val="sv-SE"/>
              </w:rPr>
            </w:pPr>
            <w:r>
              <w:rPr>
                <w:rFonts w:eastAsia="Times New Roman"/>
                <w:b/>
                <w:lang w:val="sv-SE"/>
              </w:rPr>
              <w:t>-</w:t>
            </w:r>
          </w:p>
        </w:tc>
        <w:tc>
          <w:tcPr>
            <w:tcW w:w="1714" w:type="dxa"/>
            <w:tcBorders>
              <w:top w:val="nil"/>
              <w:bottom w:val="nil"/>
            </w:tcBorders>
            <w:shd w:val="clear" w:color="auto" w:fill="FFFFFF" w:themeFill="background1"/>
          </w:tcPr>
          <w:p w:rsidR="008A180B" w:rsidRDefault="008A180B" w:rsidP="008A180B">
            <w:pPr>
              <w:pStyle w:val="Tabellinnehllvnster"/>
              <w:tabs>
                <w:tab w:val="left" w:pos="176"/>
              </w:tabs>
              <w:ind w:left="176"/>
              <w:rPr>
                <w:rFonts w:eastAsia="Times New Roman"/>
                <w:b/>
                <w:lang w:val="sv-SE"/>
              </w:rPr>
            </w:pPr>
            <w:r>
              <w:rPr>
                <w:rFonts w:eastAsia="Times New Roman"/>
                <w:b/>
                <w:lang w:val="sv-SE"/>
              </w:rPr>
              <w:t>-</w:t>
            </w:r>
          </w:p>
        </w:tc>
        <w:tc>
          <w:tcPr>
            <w:tcW w:w="1417" w:type="dxa"/>
            <w:tcBorders>
              <w:top w:val="nil"/>
              <w:bottom w:val="nil"/>
            </w:tcBorders>
            <w:shd w:val="clear" w:color="auto" w:fill="FFFFFF" w:themeFill="background1"/>
          </w:tcPr>
          <w:p w:rsidR="008A180B" w:rsidRDefault="008A180B" w:rsidP="008A180B">
            <w:pPr>
              <w:pStyle w:val="Tabellinnehllvnster"/>
              <w:tabs>
                <w:tab w:val="left" w:pos="176"/>
              </w:tabs>
              <w:ind w:left="176"/>
              <w:rPr>
                <w:rFonts w:eastAsia="Times New Roman"/>
                <w:b/>
                <w:lang w:val="sv-SE"/>
              </w:rPr>
            </w:pPr>
            <w:r>
              <w:rPr>
                <w:rFonts w:eastAsia="Times New Roman"/>
                <w:b/>
                <w:lang w:val="sv-SE"/>
              </w:rPr>
              <w:t>19 oktober</w:t>
            </w:r>
          </w:p>
        </w:tc>
      </w:tr>
      <w:tr w:rsidR="008A180B" w:rsidRPr="00EF683B" w:rsidTr="008A180B">
        <w:tc>
          <w:tcPr>
            <w:tcW w:w="3400" w:type="dxa"/>
            <w:tcBorders>
              <w:top w:val="nil"/>
              <w:left w:val="single" w:sz="4" w:space="0" w:color="auto"/>
              <w:bottom w:val="single" w:sz="4" w:space="0" w:color="auto"/>
            </w:tcBorders>
            <w:shd w:val="clear" w:color="auto" w:fill="FBD4B4" w:themeFill="accent6" w:themeFillTint="66"/>
          </w:tcPr>
          <w:p w:rsidR="008A180B" w:rsidRDefault="008A180B" w:rsidP="008A180B">
            <w:pPr>
              <w:pStyle w:val="Tabellinnehllvnster"/>
              <w:tabs>
                <w:tab w:val="left" w:pos="176"/>
              </w:tabs>
              <w:ind w:left="176"/>
              <w:rPr>
                <w:rFonts w:eastAsia="Times New Roman"/>
                <w:b/>
                <w:lang w:val="sv-SE"/>
              </w:rPr>
            </w:pPr>
            <w:r>
              <w:rPr>
                <w:rFonts w:eastAsia="Times New Roman"/>
                <w:b/>
                <w:lang w:val="sv-SE"/>
              </w:rPr>
              <w:t>26. Svenska Flygbranschen./.</w:t>
            </w:r>
          </w:p>
          <w:p w:rsidR="008A180B" w:rsidRDefault="008A180B" w:rsidP="008A180B">
            <w:pPr>
              <w:pStyle w:val="Tabellinnehllvnster"/>
              <w:tabs>
                <w:tab w:val="left" w:pos="176"/>
              </w:tabs>
              <w:ind w:left="176"/>
              <w:rPr>
                <w:rFonts w:eastAsia="Times New Roman"/>
                <w:b/>
                <w:lang w:val="sv-SE"/>
              </w:rPr>
            </w:pPr>
            <w:r>
              <w:rPr>
                <w:rFonts w:eastAsia="Times New Roman"/>
                <w:b/>
                <w:lang w:val="sv-SE"/>
              </w:rPr>
              <w:t>Hotell och Restaurang Facket</w:t>
            </w:r>
          </w:p>
        </w:tc>
        <w:tc>
          <w:tcPr>
            <w:tcW w:w="2406" w:type="dxa"/>
            <w:tcBorders>
              <w:top w:val="nil"/>
              <w:bottom w:val="single" w:sz="4" w:space="0" w:color="auto"/>
            </w:tcBorders>
            <w:shd w:val="clear" w:color="auto" w:fill="FBD4B4" w:themeFill="accent6" w:themeFillTint="66"/>
          </w:tcPr>
          <w:p w:rsidR="008A180B" w:rsidRDefault="008A180B" w:rsidP="008A180B">
            <w:pPr>
              <w:pStyle w:val="Tabellinnehllvnster"/>
              <w:tabs>
                <w:tab w:val="left" w:pos="176"/>
              </w:tabs>
              <w:ind w:left="176"/>
              <w:rPr>
                <w:rFonts w:eastAsia="Times New Roman"/>
                <w:b/>
                <w:lang w:val="sv-SE"/>
              </w:rPr>
            </w:pPr>
            <w:r>
              <w:rPr>
                <w:rFonts w:eastAsia="Times New Roman"/>
                <w:b/>
                <w:lang w:val="sv-SE"/>
              </w:rPr>
              <w:t>Olle Hammarström</w:t>
            </w:r>
          </w:p>
          <w:p w:rsidR="008A180B" w:rsidRDefault="008A180B" w:rsidP="008A180B">
            <w:pPr>
              <w:pStyle w:val="Tabellinnehllvnster"/>
              <w:tabs>
                <w:tab w:val="left" w:pos="176"/>
              </w:tabs>
              <w:ind w:left="176"/>
              <w:rPr>
                <w:rFonts w:eastAsia="Times New Roman"/>
                <w:b/>
                <w:lang w:val="sv-SE"/>
              </w:rPr>
            </w:pPr>
            <w:r>
              <w:rPr>
                <w:rFonts w:eastAsia="Times New Roman"/>
                <w:b/>
                <w:lang w:val="sv-SE"/>
              </w:rPr>
              <w:t>Erika Thelning</w:t>
            </w:r>
          </w:p>
        </w:tc>
        <w:tc>
          <w:tcPr>
            <w:tcW w:w="2265" w:type="dxa"/>
            <w:tcBorders>
              <w:top w:val="nil"/>
              <w:bottom w:val="single" w:sz="4" w:space="0" w:color="auto"/>
            </w:tcBorders>
            <w:shd w:val="clear" w:color="auto" w:fill="FBD4B4" w:themeFill="accent6" w:themeFillTint="66"/>
          </w:tcPr>
          <w:p w:rsidR="008A180B" w:rsidRDefault="008A180B" w:rsidP="008A180B">
            <w:pPr>
              <w:pStyle w:val="Tabellinnehllvnster"/>
              <w:tabs>
                <w:tab w:val="left" w:pos="176"/>
              </w:tabs>
              <w:ind w:left="176"/>
              <w:rPr>
                <w:rFonts w:eastAsia="Times New Roman"/>
                <w:b/>
                <w:lang w:val="sv-SE"/>
              </w:rPr>
            </w:pPr>
            <w:r>
              <w:rPr>
                <w:rFonts w:eastAsia="Times New Roman"/>
                <w:b/>
                <w:lang w:val="sv-SE"/>
              </w:rPr>
              <w:t>LSG Sky Chefs</w:t>
            </w:r>
          </w:p>
        </w:tc>
        <w:tc>
          <w:tcPr>
            <w:tcW w:w="1417" w:type="dxa"/>
            <w:tcBorders>
              <w:top w:val="nil"/>
              <w:bottom w:val="single" w:sz="4" w:space="0" w:color="auto"/>
            </w:tcBorders>
            <w:shd w:val="clear" w:color="auto" w:fill="FBD4B4" w:themeFill="accent6" w:themeFillTint="66"/>
          </w:tcPr>
          <w:p w:rsidR="008A180B" w:rsidRDefault="008A180B" w:rsidP="008A180B">
            <w:pPr>
              <w:pStyle w:val="Tabellinnehllvnster"/>
              <w:tabs>
                <w:tab w:val="left" w:pos="176"/>
              </w:tabs>
              <w:ind w:left="176"/>
              <w:rPr>
                <w:rFonts w:eastAsia="Times New Roman"/>
                <w:b/>
                <w:lang w:val="sv-SE"/>
              </w:rPr>
            </w:pPr>
            <w:r>
              <w:rPr>
                <w:rFonts w:eastAsia="Times New Roman"/>
                <w:b/>
                <w:lang w:val="sv-SE"/>
              </w:rPr>
              <w:t>Ja</w:t>
            </w:r>
          </w:p>
        </w:tc>
        <w:tc>
          <w:tcPr>
            <w:tcW w:w="1558" w:type="dxa"/>
            <w:tcBorders>
              <w:top w:val="nil"/>
              <w:bottom w:val="single" w:sz="4" w:space="0" w:color="auto"/>
            </w:tcBorders>
            <w:shd w:val="clear" w:color="auto" w:fill="FBD4B4" w:themeFill="accent6" w:themeFillTint="66"/>
          </w:tcPr>
          <w:p w:rsidR="008A180B" w:rsidRDefault="008A180B" w:rsidP="008A180B">
            <w:pPr>
              <w:pStyle w:val="Tabellinnehllvnster"/>
              <w:tabs>
                <w:tab w:val="left" w:pos="176"/>
              </w:tabs>
              <w:ind w:left="176"/>
              <w:rPr>
                <w:rFonts w:eastAsia="Times New Roman"/>
                <w:b/>
                <w:lang w:val="sv-SE"/>
              </w:rPr>
            </w:pPr>
          </w:p>
        </w:tc>
        <w:tc>
          <w:tcPr>
            <w:tcW w:w="1416" w:type="dxa"/>
            <w:tcBorders>
              <w:top w:val="nil"/>
              <w:bottom w:val="single" w:sz="4" w:space="0" w:color="auto"/>
            </w:tcBorders>
            <w:shd w:val="clear" w:color="auto" w:fill="FBD4B4" w:themeFill="accent6" w:themeFillTint="66"/>
          </w:tcPr>
          <w:p w:rsidR="008A180B" w:rsidRDefault="008A180B" w:rsidP="008A180B">
            <w:pPr>
              <w:pStyle w:val="Tabellinnehllvnster"/>
              <w:tabs>
                <w:tab w:val="left" w:pos="176"/>
              </w:tabs>
              <w:ind w:left="176"/>
              <w:rPr>
                <w:rFonts w:eastAsia="Times New Roman"/>
                <w:b/>
                <w:lang w:val="sv-SE"/>
              </w:rPr>
            </w:pPr>
          </w:p>
        </w:tc>
        <w:tc>
          <w:tcPr>
            <w:tcW w:w="1714" w:type="dxa"/>
            <w:tcBorders>
              <w:top w:val="nil"/>
              <w:bottom w:val="single" w:sz="4" w:space="0" w:color="auto"/>
            </w:tcBorders>
            <w:shd w:val="clear" w:color="auto" w:fill="FBD4B4" w:themeFill="accent6" w:themeFillTint="66"/>
          </w:tcPr>
          <w:p w:rsidR="008A180B" w:rsidRDefault="008A180B" w:rsidP="008A180B">
            <w:pPr>
              <w:pStyle w:val="Tabellinnehllvnster"/>
              <w:tabs>
                <w:tab w:val="left" w:pos="176"/>
              </w:tabs>
              <w:ind w:left="176"/>
              <w:rPr>
                <w:rFonts w:eastAsia="Times New Roman"/>
                <w:b/>
                <w:lang w:val="sv-SE"/>
              </w:rPr>
            </w:pPr>
          </w:p>
        </w:tc>
        <w:tc>
          <w:tcPr>
            <w:tcW w:w="1417" w:type="dxa"/>
            <w:tcBorders>
              <w:top w:val="nil"/>
              <w:bottom w:val="single" w:sz="4" w:space="0" w:color="auto"/>
            </w:tcBorders>
            <w:shd w:val="clear" w:color="auto" w:fill="FBD4B4" w:themeFill="accent6" w:themeFillTint="66"/>
          </w:tcPr>
          <w:p w:rsidR="008A180B" w:rsidRDefault="008A180B" w:rsidP="008A180B">
            <w:pPr>
              <w:pStyle w:val="Tabellinnehllvnster"/>
              <w:tabs>
                <w:tab w:val="left" w:pos="176"/>
              </w:tabs>
              <w:ind w:left="176"/>
              <w:rPr>
                <w:rFonts w:eastAsia="Times New Roman"/>
                <w:b/>
                <w:lang w:val="sv-SE"/>
              </w:rPr>
            </w:pPr>
          </w:p>
        </w:tc>
      </w:tr>
    </w:tbl>
    <w:p w:rsidR="008A180B" w:rsidRPr="00EF683B" w:rsidRDefault="008A180B" w:rsidP="008A180B">
      <w:pPr>
        <w:pStyle w:val="Kllaanmrkning"/>
        <w:ind w:left="-709"/>
        <w:rPr>
          <w:b/>
        </w:rPr>
      </w:pPr>
    </w:p>
    <w:p w:rsidR="008A180B" w:rsidRPr="00686636" w:rsidRDefault="008A180B" w:rsidP="008A180B">
      <w:pPr>
        <w:pStyle w:val="Kllaanmrkning"/>
        <w:ind w:left="-142"/>
        <w:rPr>
          <w:b/>
        </w:rPr>
      </w:pPr>
      <w:r>
        <w:rPr>
          <w:b/>
          <w:vertAlign w:val="superscript"/>
        </w:rPr>
        <w:t>1</w:t>
      </w:r>
      <w:r>
        <w:rPr>
          <w:b/>
        </w:rPr>
        <w:t>Strids- och sympatiåtgärder kan vara till exempel blockad, strejk eller lockout.</w:t>
      </w:r>
    </w:p>
    <w:p w:rsidR="008A180B" w:rsidRPr="00EF683B" w:rsidRDefault="008A180B" w:rsidP="008A180B">
      <w:pPr>
        <w:pStyle w:val="Kllaanmrkning"/>
        <w:ind w:left="-142"/>
        <w:rPr>
          <w:b/>
        </w:rPr>
      </w:pPr>
      <w:r>
        <w:rPr>
          <w:b/>
          <w:vertAlign w:val="superscript"/>
        </w:rPr>
        <w:t>2</w:t>
      </w:r>
      <w:r w:rsidRPr="00EF683B">
        <w:rPr>
          <w:b/>
        </w:rPr>
        <w:t>Medlare utsågs efter gemensam begäran från parterna och utan att det förelåg varsel om stridsåtgärder</w:t>
      </w:r>
      <w:r>
        <w:rPr>
          <w:b/>
        </w:rPr>
        <w:t>.</w:t>
      </w:r>
      <w:r w:rsidRPr="00EF683B">
        <w:rPr>
          <w:b/>
        </w:rPr>
        <w:t xml:space="preserve"> </w:t>
      </w:r>
      <w:r>
        <w:rPr>
          <w:b/>
        </w:rPr>
        <w:t>Varsel om stridsåtgärder lades vid senare tidpunkt.</w:t>
      </w:r>
      <w:r w:rsidRPr="00EF683B">
        <w:rPr>
          <w:b/>
        </w:rPr>
        <w:br/>
      </w:r>
      <w:r>
        <w:rPr>
          <w:b/>
          <w:vertAlign w:val="superscript"/>
        </w:rPr>
        <w:t>3</w:t>
      </w:r>
      <w:r w:rsidRPr="00EF683B">
        <w:rPr>
          <w:b/>
        </w:rPr>
        <w:t>Nio avtal under den angivna tidsperioden..</w:t>
      </w:r>
    </w:p>
    <w:p w:rsidR="00062AA9" w:rsidRDefault="00062AA9" w:rsidP="008A180B">
      <w:pPr>
        <w:rPr>
          <w:b/>
        </w:rPr>
      </w:pPr>
    </w:p>
    <w:sectPr w:rsidR="00062AA9" w:rsidSect="00D77C4D">
      <w:pgSz w:w="16838" w:h="11906" w:orient="landscape"/>
      <w:pgMar w:top="1418" w:right="536" w:bottom="1135"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94D" w:rsidRDefault="00A6594D">
      <w:r>
        <w:separator/>
      </w:r>
    </w:p>
  </w:endnote>
  <w:endnote w:type="continuationSeparator" w:id="0">
    <w:p w:rsidR="00A6594D" w:rsidRDefault="00A65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Futura Medium">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Garamond">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94D" w:rsidRDefault="00A6594D">
    <w:pPr>
      <w:pStyle w:val="Sidfot"/>
      <w:ind w:right="-187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94D" w:rsidRDefault="00A6594D">
    <w:pPr>
      <w:pStyle w:val="Sidfot"/>
    </w:pPr>
    <w:r>
      <w:t xml:space="preserve"> </w:t>
    </w:r>
  </w:p>
  <w:p w:rsidR="00A6594D" w:rsidRDefault="00A6594D">
    <w:pPr>
      <w:pStyle w:val="Sidfot"/>
      <w:tabs>
        <w:tab w:val="clear" w:pos="8590"/>
      </w:tabs>
      <w:jc w:val="left"/>
      <w:rPr>
        <w:rStyle w:val="Sidnumm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94D" w:rsidRDefault="00A6594D">
      <w:r>
        <w:separator/>
      </w:r>
    </w:p>
  </w:footnote>
  <w:footnote w:type="continuationSeparator" w:id="0">
    <w:p w:rsidR="00A6594D" w:rsidRDefault="00A6594D">
      <w:r>
        <w:continuationSeparator/>
      </w:r>
    </w:p>
  </w:footnote>
  <w:footnote w:id="1">
    <w:p w:rsidR="00A6594D" w:rsidRPr="00F9495B" w:rsidRDefault="00A6594D" w:rsidP="00043A1A">
      <w:pPr>
        <w:pStyle w:val="Tabellinnehllvnster"/>
        <w:rPr>
          <w:lang w:val="sv-SE"/>
        </w:rPr>
      </w:pPr>
      <w:r>
        <w:rPr>
          <w:rStyle w:val="Fotnotsreferens"/>
        </w:rPr>
        <w:footnoteRef/>
      </w:r>
      <w:r w:rsidRPr="00043A1A">
        <w:rPr>
          <w:lang w:val="sv-SE"/>
        </w:rPr>
        <w:t xml:space="preserve"> </w:t>
      </w:r>
      <w:r>
        <w:rPr>
          <w:lang w:val="sv-SE"/>
        </w:rPr>
        <w:t>Från Göran Tunhammars utvärdering av Medlingsinstitutet, God sed vid lönebildning (SOU 2006:32).</w:t>
      </w:r>
    </w:p>
    <w:p w:rsidR="00A6594D" w:rsidRDefault="00A6594D">
      <w:pPr>
        <w:pStyle w:val="Fotnotstext"/>
      </w:pPr>
    </w:p>
  </w:footnote>
  <w:footnote w:id="2">
    <w:p w:rsidR="00A6594D" w:rsidRDefault="00A6594D" w:rsidP="00AA6986">
      <w:pPr>
        <w:pStyle w:val="Fotnotstext"/>
        <w:spacing w:after="0"/>
        <w:ind w:left="-567"/>
      </w:pPr>
      <w:r>
        <w:rPr>
          <w:rStyle w:val="Fotnotsreferens"/>
        </w:rPr>
        <w:footnoteRef/>
      </w:r>
      <w:r>
        <w:t xml:space="preserve"> 76 000 dagar gällde konflikten mellan Kommunal och Bussarbetsgivarna.</w:t>
      </w:r>
    </w:p>
  </w:footnote>
  <w:footnote w:id="3">
    <w:p w:rsidR="00A6594D" w:rsidRDefault="00A6594D" w:rsidP="00AA6986">
      <w:pPr>
        <w:pStyle w:val="Fotnotstext"/>
        <w:spacing w:after="0"/>
        <w:ind w:left="-567"/>
      </w:pPr>
      <w:r>
        <w:rPr>
          <w:rStyle w:val="Fotnotsreferens"/>
        </w:rPr>
        <w:footnoteRef/>
      </w:r>
      <w:r>
        <w:t xml:space="preserve"> 600 000 dagar avsåg konflikten mellan Kommunal och Sveriges Kommuner och Landsting</w:t>
      </w:r>
    </w:p>
  </w:footnote>
  <w:footnote w:id="4">
    <w:p w:rsidR="00A6594D" w:rsidRDefault="00A6594D" w:rsidP="00AA6986">
      <w:pPr>
        <w:pStyle w:val="Fotnotstext"/>
        <w:spacing w:after="0"/>
        <w:ind w:left="-567" w:right="-114"/>
      </w:pPr>
      <w:r>
        <w:rPr>
          <w:rStyle w:val="Fotnotsreferens"/>
        </w:rPr>
        <w:footnoteRef/>
      </w:r>
      <w:r>
        <w:t xml:space="preserve"> 95 000 dagar gällde konflikten mellan Vårdförbundet och Sveriges Kommuner och Landsting.</w:t>
      </w:r>
    </w:p>
  </w:footnote>
  <w:footnote w:id="5">
    <w:p w:rsidR="00A6594D" w:rsidRDefault="00A6594D" w:rsidP="00AA6986">
      <w:pPr>
        <w:pStyle w:val="Fotnotstext"/>
        <w:spacing w:after="0"/>
        <w:ind w:left="-567"/>
      </w:pPr>
      <w:r>
        <w:rPr>
          <w:rStyle w:val="Fotnotsreferens"/>
        </w:rPr>
        <w:footnoteRef/>
      </w:r>
      <w:r>
        <w:t xml:space="preserve"> 26 500 strejkdagar gällde Pappers konflikt med Sverige Skogsindustrier.</w:t>
      </w:r>
    </w:p>
  </w:footnote>
  <w:footnote w:id="6">
    <w:p w:rsidR="00A6594D" w:rsidRDefault="00A6594D" w:rsidP="00AA6986">
      <w:pPr>
        <w:pStyle w:val="Fotnotstext"/>
        <w:ind w:left="-567"/>
      </w:pPr>
      <w:r>
        <w:rPr>
          <w:rStyle w:val="Fotnotsreferens"/>
        </w:rPr>
        <w:footnoteRef/>
      </w:r>
      <w:r>
        <w:t xml:space="preserve"> Uppskattat antal i mitten av november 2012. Av strejkdagarna svarade Byggnads konflikt inom bland annat plåt, kyl och VVS för cirka 38 000 dagar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94D" w:rsidRDefault="00A6594D">
    <w:pPr>
      <w:pStyle w:val="Sidhuvud"/>
      <w:tabs>
        <w:tab w:val="clear" w:pos="4536"/>
        <w:tab w:val="clear" w:pos="9072"/>
        <w:tab w:val="right" w:pos="7088"/>
        <w:tab w:val="right" w:pos="8364"/>
      </w:tabs>
      <w:spacing w:line="240" w:lineRule="atLeast"/>
      <w:rPr>
        <w:rFonts w:ascii="Verdana" w:hAnsi="Verdana"/>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3F4FF42"/>
    <w:lvl w:ilvl="0">
      <w:start w:val="1"/>
      <w:numFmt w:val="bullet"/>
      <w:lvlText w:val=""/>
      <w:lvlJc w:val="left"/>
      <w:pPr>
        <w:tabs>
          <w:tab w:val="num" w:pos="360"/>
        </w:tabs>
        <w:ind w:left="360" w:hanging="360"/>
      </w:pPr>
      <w:rPr>
        <w:rFonts w:ascii="Symbol" w:hAnsi="Symbol" w:hint="default"/>
      </w:rPr>
    </w:lvl>
  </w:abstractNum>
  <w:abstractNum w:abstractNumId="1">
    <w:nsid w:val="099D6F09"/>
    <w:multiLevelType w:val="hybridMultilevel"/>
    <w:tmpl w:val="F3EEA8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25B5318"/>
    <w:multiLevelType w:val="hybridMultilevel"/>
    <w:tmpl w:val="2EA83C9E"/>
    <w:lvl w:ilvl="0" w:tplc="B224B086">
      <w:start w:val="1"/>
      <w:numFmt w:val="bullet"/>
      <w:lvlText w:val="-"/>
      <w:lvlJc w:val="left"/>
      <w:pPr>
        <w:tabs>
          <w:tab w:val="num" w:pos="360"/>
        </w:tabs>
        <w:ind w:left="360" w:hanging="360"/>
      </w:pPr>
      <w:rPr>
        <w:rFonts w:ascii="Arial" w:hAnsi="Arial" w:hint="default"/>
      </w:rPr>
    </w:lvl>
    <w:lvl w:ilvl="1" w:tplc="041D0003" w:tentative="1">
      <w:start w:val="1"/>
      <w:numFmt w:val="bullet"/>
      <w:lvlText w:val="o"/>
      <w:lvlJc w:val="left"/>
      <w:pPr>
        <w:tabs>
          <w:tab w:val="num" w:pos="360"/>
        </w:tabs>
        <w:ind w:left="360" w:hanging="360"/>
      </w:pPr>
      <w:rPr>
        <w:rFonts w:ascii="Courier New" w:hAnsi="Courier New" w:cs="Courier New" w:hint="default"/>
      </w:rPr>
    </w:lvl>
    <w:lvl w:ilvl="2" w:tplc="041D0005" w:tentative="1">
      <w:start w:val="1"/>
      <w:numFmt w:val="bullet"/>
      <w:lvlText w:val=""/>
      <w:lvlJc w:val="left"/>
      <w:pPr>
        <w:tabs>
          <w:tab w:val="num" w:pos="1080"/>
        </w:tabs>
        <w:ind w:left="1080" w:hanging="360"/>
      </w:pPr>
      <w:rPr>
        <w:rFonts w:ascii="Wingdings" w:hAnsi="Wingdings" w:hint="default"/>
      </w:rPr>
    </w:lvl>
    <w:lvl w:ilvl="3" w:tplc="041D0001" w:tentative="1">
      <w:start w:val="1"/>
      <w:numFmt w:val="bullet"/>
      <w:lvlText w:val=""/>
      <w:lvlJc w:val="left"/>
      <w:pPr>
        <w:tabs>
          <w:tab w:val="num" w:pos="1800"/>
        </w:tabs>
        <w:ind w:left="1800" w:hanging="360"/>
      </w:pPr>
      <w:rPr>
        <w:rFonts w:ascii="Symbol" w:hAnsi="Symbol" w:hint="default"/>
      </w:rPr>
    </w:lvl>
    <w:lvl w:ilvl="4" w:tplc="041D0003" w:tentative="1">
      <w:start w:val="1"/>
      <w:numFmt w:val="bullet"/>
      <w:lvlText w:val="o"/>
      <w:lvlJc w:val="left"/>
      <w:pPr>
        <w:tabs>
          <w:tab w:val="num" w:pos="2520"/>
        </w:tabs>
        <w:ind w:left="2520" w:hanging="360"/>
      </w:pPr>
      <w:rPr>
        <w:rFonts w:ascii="Courier New" w:hAnsi="Courier New" w:cs="Courier New" w:hint="default"/>
      </w:rPr>
    </w:lvl>
    <w:lvl w:ilvl="5" w:tplc="041D0005" w:tentative="1">
      <w:start w:val="1"/>
      <w:numFmt w:val="bullet"/>
      <w:lvlText w:val=""/>
      <w:lvlJc w:val="left"/>
      <w:pPr>
        <w:tabs>
          <w:tab w:val="num" w:pos="3240"/>
        </w:tabs>
        <w:ind w:left="3240" w:hanging="360"/>
      </w:pPr>
      <w:rPr>
        <w:rFonts w:ascii="Wingdings" w:hAnsi="Wingdings" w:hint="default"/>
      </w:rPr>
    </w:lvl>
    <w:lvl w:ilvl="6" w:tplc="041D0001" w:tentative="1">
      <w:start w:val="1"/>
      <w:numFmt w:val="bullet"/>
      <w:lvlText w:val=""/>
      <w:lvlJc w:val="left"/>
      <w:pPr>
        <w:tabs>
          <w:tab w:val="num" w:pos="3960"/>
        </w:tabs>
        <w:ind w:left="3960" w:hanging="360"/>
      </w:pPr>
      <w:rPr>
        <w:rFonts w:ascii="Symbol" w:hAnsi="Symbol" w:hint="default"/>
      </w:rPr>
    </w:lvl>
    <w:lvl w:ilvl="7" w:tplc="041D0003" w:tentative="1">
      <w:start w:val="1"/>
      <w:numFmt w:val="bullet"/>
      <w:lvlText w:val="o"/>
      <w:lvlJc w:val="left"/>
      <w:pPr>
        <w:tabs>
          <w:tab w:val="num" w:pos="4680"/>
        </w:tabs>
        <w:ind w:left="4680" w:hanging="360"/>
      </w:pPr>
      <w:rPr>
        <w:rFonts w:ascii="Courier New" w:hAnsi="Courier New" w:cs="Courier New" w:hint="default"/>
      </w:rPr>
    </w:lvl>
    <w:lvl w:ilvl="8" w:tplc="041D0005" w:tentative="1">
      <w:start w:val="1"/>
      <w:numFmt w:val="bullet"/>
      <w:lvlText w:val=""/>
      <w:lvlJc w:val="left"/>
      <w:pPr>
        <w:tabs>
          <w:tab w:val="num" w:pos="5400"/>
        </w:tabs>
        <w:ind w:left="5400" w:hanging="360"/>
      </w:pPr>
      <w:rPr>
        <w:rFonts w:ascii="Wingdings" w:hAnsi="Wingdings" w:hint="default"/>
      </w:rPr>
    </w:lvl>
  </w:abstractNum>
  <w:abstractNum w:abstractNumId="3">
    <w:nsid w:val="4C732BE1"/>
    <w:multiLevelType w:val="hybridMultilevel"/>
    <w:tmpl w:val="05A26F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F117E55"/>
    <w:multiLevelType w:val="hybridMultilevel"/>
    <w:tmpl w:val="A9CA49F6"/>
    <w:lvl w:ilvl="0" w:tplc="2D847B0A">
      <w:numFmt w:val="bullet"/>
      <w:lvlText w:val="-"/>
      <w:lvlJc w:val="left"/>
      <w:pPr>
        <w:tabs>
          <w:tab w:val="num" w:pos="360"/>
        </w:tabs>
        <w:ind w:left="360" w:hanging="360"/>
      </w:pPr>
      <w:rPr>
        <w:rFonts w:ascii="Times New Roman" w:eastAsia="Times New Roman" w:hAnsi="Times New Roman" w:cs="Times New Roman"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5">
    <w:nsid w:val="57465216"/>
    <w:multiLevelType w:val="hybridMultilevel"/>
    <w:tmpl w:val="97365AB6"/>
    <w:lvl w:ilvl="0" w:tplc="6DE0C330">
      <w:start w:val="1"/>
      <w:numFmt w:val="bullet"/>
      <w:pStyle w:val="Punktlista"/>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D640594"/>
    <w:multiLevelType w:val="hybridMultilevel"/>
    <w:tmpl w:val="400430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6CE42485"/>
    <w:multiLevelType w:val="hybridMultilevel"/>
    <w:tmpl w:val="678CDD6A"/>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5"/>
  </w:num>
  <w:num w:numId="2">
    <w:abstractNumId w:val="4"/>
  </w:num>
  <w:num w:numId="3">
    <w:abstractNumId w:val="2"/>
  </w:num>
  <w:num w:numId="4">
    <w:abstractNumId w:val="7"/>
  </w:num>
  <w:num w:numId="5">
    <w:abstractNumId w:val="6"/>
  </w:num>
  <w:num w:numId="6">
    <w:abstractNumId w:val="3"/>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7A7"/>
    <w:rsid w:val="00014025"/>
    <w:rsid w:val="000400E8"/>
    <w:rsid w:val="0004241F"/>
    <w:rsid w:val="00043A1A"/>
    <w:rsid w:val="000567A0"/>
    <w:rsid w:val="0006182B"/>
    <w:rsid w:val="00062AA9"/>
    <w:rsid w:val="00072257"/>
    <w:rsid w:val="00083D82"/>
    <w:rsid w:val="000948E3"/>
    <w:rsid w:val="000D0611"/>
    <w:rsid w:val="001028C2"/>
    <w:rsid w:val="001451A6"/>
    <w:rsid w:val="001629EF"/>
    <w:rsid w:val="00193A4D"/>
    <w:rsid w:val="001D49E8"/>
    <w:rsid w:val="001D5D84"/>
    <w:rsid w:val="00205CBE"/>
    <w:rsid w:val="002327A7"/>
    <w:rsid w:val="00280734"/>
    <w:rsid w:val="002A4EEE"/>
    <w:rsid w:val="002B0654"/>
    <w:rsid w:val="002B7E13"/>
    <w:rsid w:val="002C2919"/>
    <w:rsid w:val="002E3358"/>
    <w:rsid w:val="00305957"/>
    <w:rsid w:val="00324596"/>
    <w:rsid w:val="00330EE4"/>
    <w:rsid w:val="0037327E"/>
    <w:rsid w:val="00377832"/>
    <w:rsid w:val="00390D24"/>
    <w:rsid w:val="003B3F19"/>
    <w:rsid w:val="003C0B83"/>
    <w:rsid w:val="003D2030"/>
    <w:rsid w:val="003E453F"/>
    <w:rsid w:val="00406DBE"/>
    <w:rsid w:val="00432767"/>
    <w:rsid w:val="00441FF7"/>
    <w:rsid w:val="00453119"/>
    <w:rsid w:val="00463869"/>
    <w:rsid w:val="00474B08"/>
    <w:rsid w:val="00477A7C"/>
    <w:rsid w:val="004800C4"/>
    <w:rsid w:val="00485699"/>
    <w:rsid w:val="004A0905"/>
    <w:rsid w:val="004A6E0E"/>
    <w:rsid w:val="004C07D7"/>
    <w:rsid w:val="004D033B"/>
    <w:rsid w:val="004E0539"/>
    <w:rsid w:val="004E6F6F"/>
    <w:rsid w:val="00527FE5"/>
    <w:rsid w:val="00531F09"/>
    <w:rsid w:val="005346E1"/>
    <w:rsid w:val="005375EE"/>
    <w:rsid w:val="00544DF7"/>
    <w:rsid w:val="00552AB2"/>
    <w:rsid w:val="005532BE"/>
    <w:rsid w:val="00555A8A"/>
    <w:rsid w:val="00557F20"/>
    <w:rsid w:val="005621CE"/>
    <w:rsid w:val="005B3315"/>
    <w:rsid w:val="005B4645"/>
    <w:rsid w:val="00605201"/>
    <w:rsid w:val="00615016"/>
    <w:rsid w:val="00623424"/>
    <w:rsid w:val="00640867"/>
    <w:rsid w:val="006507C6"/>
    <w:rsid w:val="00653F8A"/>
    <w:rsid w:val="006607FB"/>
    <w:rsid w:val="00662BBB"/>
    <w:rsid w:val="00682F58"/>
    <w:rsid w:val="00697AB9"/>
    <w:rsid w:val="006D61A6"/>
    <w:rsid w:val="006E5CEA"/>
    <w:rsid w:val="006E5D59"/>
    <w:rsid w:val="006F4E17"/>
    <w:rsid w:val="007160D8"/>
    <w:rsid w:val="00720099"/>
    <w:rsid w:val="007341EC"/>
    <w:rsid w:val="00743093"/>
    <w:rsid w:val="00756D59"/>
    <w:rsid w:val="00781A12"/>
    <w:rsid w:val="007C651F"/>
    <w:rsid w:val="007D277B"/>
    <w:rsid w:val="00811F07"/>
    <w:rsid w:val="0085557F"/>
    <w:rsid w:val="00865980"/>
    <w:rsid w:val="008A180B"/>
    <w:rsid w:val="008C576B"/>
    <w:rsid w:val="008C74F2"/>
    <w:rsid w:val="00904F6A"/>
    <w:rsid w:val="00962587"/>
    <w:rsid w:val="00963E36"/>
    <w:rsid w:val="0097248B"/>
    <w:rsid w:val="009779FC"/>
    <w:rsid w:val="00977A5C"/>
    <w:rsid w:val="00984CF6"/>
    <w:rsid w:val="009D3A0A"/>
    <w:rsid w:val="009E6D8A"/>
    <w:rsid w:val="00A55EB8"/>
    <w:rsid w:val="00A64897"/>
    <w:rsid w:val="00A6594D"/>
    <w:rsid w:val="00AA6986"/>
    <w:rsid w:val="00AA7AF8"/>
    <w:rsid w:val="00AD0431"/>
    <w:rsid w:val="00AE2A18"/>
    <w:rsid w:val="00B0246C"/>
    <w:rsid w:val="00B11790"/>
    <w:rsid w:val="00B14E99"/>
    <w:rsid w:val="00B411D1"/>
    <w:rsid w:val="00B61635"/>
    <w:rsid w:val="00B90306"/>
    <w:rsid w:val="00B96E48"/>
    <w:rsid w:val="00BB4E5D"/>
    <w:rsid w:val="00BC21F4"/>
    <w:rsid w:val="00BD31B2"/>
    <w:rsid w:val="00BE3B49"/>
    <w:rsid w:val="00BE4C66"/>
    <w:rsid w:val="00C3076C"/>
    <w:rsid w:val="00C44A75"/>
    <w:rsid w:val="00C44C98"/>
    <w:rsid w:val="00C711C9"/>
    <w:rsid w:val="00C842B7"/>
    <w:rsid w:val="00C9556D"/>
    <w:rsid w:val="00CC7FD4"/>
    <w:rsid w:val="00CD5C98"/>
    <w:rsid w:val="00CE067D"/>
    <w:rsid w:val="00CE5BBB"/>
    <w:rsid w:val="00CF30D8"/>
    <w:rsid w:val="00D75D1A"/>
    <w:rsid w:val="00D77C4D"/>
    <w:rsid w:val="00D87D3F"/>
    <w:rsid w:val="00DA5629"/>
    <w:rsid w:val="00E112B4"/>
    <w:rsid w:val="00E371ED"/>
    <w:rsid w:val="00E54E08"/>
    <w:rsid w:val="00E92B04"/>
    <w:rsid w:val="00E964AC"/>
    <w:rsid w:val="00E964D8"/>
    <w:rsid w:val="00EC5AED"/>
    <w:rsid w:val="00F120DF"/>
    <w:rsid w:val="00F76E8D"/>
    <w:rsid w:val="00F813C6"/>
    <w:rsid w:val="00F83C8D"/>
    <w:rsid w:val="00F8552B"/>
    <w:rsid w:val="00F9114C"/>
    <w:rsid w:val="00FF51C7"/>
    <w:rsid w:val="00FF75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after="160" w:line="300" w:lineRule="exact"/>
      <w:textAlignment w:val="baseline"/>
    </w:pPr>
    <w:rPr>
      <w:rFonts w:ascii="Times New Roman" w:hAnsi="Times New Roman"/>
      <w:sz w:val="23"/>
      <w:lang w:eastAsia="en-US"/>
    </w:rPr>
  </w:style>
  <w:style w:type="paragraph" w:styleId="Rubrik1">
    <w:name w:val="heading 1"/>
    <w:basedOn w:val="Normal"/>
    <w:next w:val="Brdtext"/>
    <w:qFormat/>
    <w:pPr>
      <w:keepNext/>
      <w:spacing w:before="880" w:after="240" w:line="300" w:lineRule="atLeast"/>
      <w:ind w:left="709"/>
      <w:outlineLvl w:val="0"/>
    </w:pPr>
    <w:rPr>
      <w:b/>
      <w:noProof/>
      <w:kern w:val="32"/>
      <w:sz w:val="24"/>
    </w:rPr>
  </w:style>
  <w:style w:type="paragraph" w:styleId="Rubrik2">
    <w:name w:val="heading 2"/>
    <w:basedOn w:val="Normal"/>
    <w:next w:val="Normal"/>
    <w:qFormat/>
    <w:pPr>
      <w:keepNext/>
      <w:spacing w:before="240" w:after="60"/>
      <w:outlineLvl w:val="1"/>
    </w:pPr>
    <w:rPr>
      <w:rFonts w:ascii="Futura Medium" w:hAnsi="Futura Medium"/>
      <w:b/>
      <w:sz w:val="26"/>
    </w:rPr>
  </w:style>
  <w:style w:type="paragraph" w:styleId="Rubrik3">
    <w:name w:val="heading 3"/>
    <w:basedOn w:val="Normal"/>
    <w:next w:val="Normal"/>
    <w:qFormat/>
    <w:pPr>
      <w:keepNext/>
      <w:spacing w:before="240" w:after="60"/>
      <w:outlineLvl w:val="2"/>
    </w:pPr>
  </w:style>
  <w:style w:type="paragraph" w:styleId="Rubrik4">
    <w:name w:val="heading 4"/>
    <w:basedOn w:val="Normal"/>
    <w:next w:val="Normal"/>
    <w:qFormat/>
    <w:pPr>
      <w:keepNext/>
      <w:spacing w:before="880" w:after="240" w:line="280" w:lineRule="atLeast"/>
      <w:ind w:left="709"/>
      <w:outlineLvl w:val="3"/>
    </w:pPr>
    <w:rPr>
      <w:rFonts w:ascii="Verdana" w:hAnsi="Verdana"/>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idnummer">
    <w:name w:val="page number"/>
    <w:rPr>
      <w:rFonts w:ascii="AGaramond" w:hAnsi="AGaramond"/>
      <w:sz w:val="20"/>
    </w:rPr>
  </w:style>
  <w:style w:type="paragraph" w:styleId="Brdtext">
    <w:name w:val="Body Text"/>
    <w:basedOn w:val="Normal"/>
    <w:rsid w:val="00BB4E5D"/>
    <w:pPr>
      <w:spacing w:after="120" w:line="300" w:lineRule="atLeast"/>
      <w:ind w:left="709"/>
    </w:pPr>
  </w:style>
  <w:style w:type="paragraph" w:styleId="Sidfot">
    <w:name w:val="footer"/>
    <w:basedOn w:val="Normal"/>
    <w:link w:val="SidfotChar"/>
    <w:uiPriority w:val="99"/>
    <w:pPr>
      <w:tabs>
        <w:tab w:val="right" w:pos="8590"/>
      </w:tabs>
      <w:spacing w:after="0" w:line="220" w:lineRule="exact"/>
      <w:jc w:val="right"/>
    </w:pPr>
    <w:rPr>
      <w:sz w:val="16"/>
    </w:rPr>
  </w:style>
  <w:style w:type="paragraph" w:styleId="Sidhuvud">
    <w:name w:val="header"/>
    <w:basedOn w:val="Brdtext"/>
    <w:link w:val="SidhuvudChar"/>
    <w:pPr>
      <w:tabs>
        <w:tab w:val="center" w:pos="4536"/>
        <w:tab w:val="right" w:pos="9072"/>
      </w:tabs>
      <w:spacing w:line="260" w:lineRule="atLeast"/>
      <w:ind w:left="0"/>
    </w:pPr>
  </w:style>
  <w:style w:type="paragraph" w:customStyle="1" w:styleId="Hlsning">
    <w:name w:val="Hälsning"/>
    <w:basedOn w:val="Brdtext"/>
    <w:next w:val="Brdtext"/>
    <w:pPr>
      <w:spacing w:before="320" w:after="1040"/>
    </w:pPr>
  </w:style>
  <w:style w:type="paragraph" w:customStyle="1" w:styleId="Punkter">
    <w:name w:val="Punkter"/>
    <w:basedOn w:val="Normal"/>
    <w:pPr>
      <w:tabs>
        <w:tab w:val="right" w:pos="284"/>
      </w:tabs>
      <w:spacing w:after="60"/>
      <w:ind w:left="284" w:hanging="284"/>
    </w:pPr>
  </w:style>
  <w:style w:type="paragraph" w:styleId="Makrotext">
    <w:name w:val="macro"/>
    <w:semiHidden/>
    <w:pPr>
      <w:tabs>
        <w:tab w:val="left" w:pos="576"/>
        <w:tab w:val="left" w:pos="1152"/>
        <w:tab w:val="left" w:pos="1728"/>
        <w:tab w:val="left" w:pos="2304"/>
        <w:tab w:val="left" w:pos="2880"/>
        <w:tab w:val="left" w:pos="3456"/>
        <w:tab w:val="left" w:pos="4032"/>
      </w:tabs>
      <w:overflowPunct w:val="0"/>
      <w:autoSpaceDE w:val="0"/>
      <w:autoSpaceDN w:val="0"/>
      <w:adjustRightInd w:val="0"/>
      <w:spacing w:after="160" w:line="300" w:lineRule="exact"/>
      <w:textAlignment w:val="baseline"/>
    </w:pPr>
    <w:rPr>
      <w:rFonts w:ascii="Courier" w:hAnsi="Courier"/>
      <w:sz w:val="24"/>
      <w:lang w:eastAsia="en-US"/>
    </w:rPr>
  </w:style>
  <w:style w:type="paragraph" w:customStyle="1" w:styleId="Brdtext21">
    <w:name w:val="Brödtext 21"/>
    <w:basedOn w:val="Brdtext"/>
  </w:style>
  <w:style w:type="paragraph" w:customStyle="1" w:styleId="Sidhuvudrubrik">
    <w:name w:val="Sidhuvud rubrik"/>
    <w:next w:val="Sidhuvud"/>
    <w:pPr>
      <w:tabs>
        <w:tab w:val="right" w:pos="7088"/>
        <w:tab w:val="right" w:pos="8364"/>
      </w:tabs>
      <w:overflowPunct w:val="0"/>
      <w:autoSpaceDE w:val="0"/>
      <w:autoSpaceDN w:val="0"/>
      <w:adjustRightInd w:val="0"/>
      <w:spacing w:line="260" w:lineRule="atLeast"/>
      <w:textAlignment w:val="baseline"/>
    </w:pPr>
    <w:rPr>
      <w:rFonts w:ascii="Verdana" w:hAnsi="Verdana"/>
      <w:noProof/>
      <w:sz w:val="18"/>
      <w:lang w:val="en-GB" w:eastAsia="en-US"/>
    </w:rPr>
  </w:style>
  <w:style w:type="paragraph" w:customStyle="1" w:styleId="Adress">
    <w:name w:val="Adress"/>
    <w:basedOn w:val="Brdtext"/>
    <w:pPr>
      <w:spacing w:after="0"/>
      <w:ind w:left="5103"/>
    </w:pPr>
  </w:style>
  <w:style w:type="paragraph" w:customStyle="1" w:styleId="Avsndare">
    <w:name w:val="Avsändare"/>
    <w:basedOn w:val="Brdtext"/>
  </w:style>
  <w:style w:type="paragraph" w:styleId="Ballongtext">
    <w:name w:val="Balloon Text"/>
    <w:basedOn w:val="Normal"/>
    <w:link w:val="BallongtextChar"/>
    <w:rsid w:val="00F8552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rsid w:val="00F8552B"/>
    <w:rPr>
      <w:rFonts w:ascii="Tahoma" w:hAnsi="Tahoma" w:cs="Tahoma"/>
      <w:sz w:val="16"/>
      <w:szCs w:val="16"/>
      <w:lang w:eastAsia="en-US"/>
    </w:rPr>
  </w:style>
  <w:style w:type="paragraph" w:styleId="Rubrik">
    <w:name w:val="Title"/>
    <w:basedOn w:val="Normal"/>
    <w:next w:val="Normal"/>
    <w:link w:val="RubrikChar"/>
    <w:qFormat/>
    <w:rsid w:val="00F8552B"/>
    <w:pPr>
      <w:spacing w:before="240" w:after="60"/>
      <w:jc w:val="center"/>
      <w:outlineLvl w:val="0"/>
    </w:pPr>
    <w:rPr>
      <w:rFonts w:ascii="Cambria" w:hAnsi="Cambria"/>
      <w:b/>
      <w:bCs/>
      <w:kern w:val="28"/>
      <w:sz w:val="32"/>
      <w:szCs w:val="32"/>
    </w:rPr>
  </w:style>
  <w:style w:type="character" w:customStyle="1" w:styleId="RubrikChar">
    <w:name w:val="Rubrik Char"/>
    <w:basedOn w:val="Standardstycketeckensnitt"/>
    <w:link w:val="Rubrik"/>
    <w:rsid w:val="00F8552B"/>
    <w:rPr>
      <w:rFonts w:ascii="Cambria" w:hAnsi="Cambria"/>
      <w:b/>
      <w:bCs/>
      <w:kern w:val="28"/>
      <w:sz w:val="32"/>
      <w:szCs w:val="32"/>
      <w:lang w:eastAsia="en-US"/>
    </w:rPr>
  </w:style>
  <w:style w:type="paragraph" w:customStyle="1" w:styleId="Normal2">
    <w:name w:val="Normal 2"/>
    <w:basedOn w:val="Normal"/>
    <w:link w:val="Normal2Char"/>
    <w:rsid w:val="00F8552B"/>
    <w:pPr>
      <w:spacing w:before="160"/>
    </w:pPr>
  </w:style>
  <w:style w:type="character" w:customStyle="1" w:styleId="Normal2Char">
    <w:name w:val="Normal 2 Char"/>
    <w:link w:val="Normal2"/>
    <w:rsid w:val="00F8552B"/>
    <w:rPr>
      <w:rFonts w:ascii="Times New Roman" w:hAnsi="Times New Roman"/>
      <w:sz w:val="23"/>
      <w:lang w:eastAsia="en-US"/>
    </w:rPr>
  </w:style>
  <w:style w:type="paragraph" w:styleId="Punktlista">
    <w:name w:val="List Bullet"/>
    <w:basedOn w:val="Normal2"/>
    <w:rsid w:val="00F8552B"/>
    <w:pPr>
      <w:numPr>
        <w:numId w:val="1"/>
      </w:numPr>
    </w:pPr>
  </w:style>
  <w:style w:type="character" w:customStyle="1" w:styleId="SidfotChar">
    <w:name w:val="Sidfot Char"/>
    <w:basedOn w:val="Standardstycketeckensnitt"/>
    <w:link w:val="Sidfot"/>
    <w:uiPriority w:val="99"/>
    <w:rsid w:val="00F8552B"/>
    <w:rPr>
      <w:rFonts w:ascii="Times New Roman" w:hAnsi="Times New Roman"/>
      <w:sz w:val="16"/>
      <w:lang w:eastAsia="en-US"/>
    </w:rPr>
  </w:style>
  <w:style w:type="character" w:styleId="Fotnotsreferens">
    <w:name w:val="footnote reference"/>
    <w:rsid w:val="00F8552B"/>
    <w:rPr>
      <w:rFonts w:ascii="Arial" w:hAnsi="Arial"/>
      <w:dstrike w:val="0"/>
      <w:color w:val="auto"/>
      <w:sz w:val="18"/>
      <w:vertAlign w:val="superscript"/>
    </w:rPr>
  </w:style>
  <w:style w:type="paragraph" w:customStyle="1" w:styleId="Tabellinnehllvnster">
    <w:name w:val="Tabellinnehåll vänster"/>
    <w:link w:val="TabellinnehllvnsterChar"/>
    <w:rsid w:val="00F8552B"/>
    <w:pPr>
      <w:spacing w:before="40" w:line="200" w:lineRule="atLeast"/>
    </w:pPr>
    <w:rPr>
      <w:rFonts w:ascii="Arial" w:eastAsia="Times" w:hAnsi="Arial"/>
      <w:noProof/>
      <w:sz w:val="15"/>
      <w:lang w:val="en-GB" w:eastAsia="en-US"/>
    </w:rPr>
  </w:style>
  <w:style w:type="character" w:customStyle="1" w:styleId="TabellinnehllvnsterChar">
    <w:name w:val="Tabellinnehåll vänster Char"/>
    <w:link w:val="Tabellinnehllvnster"/>
    <w:rsid w:val="00F8552B"/>
    <w:rPr>
      <w:rFonts w:ascii="Arial" w:eastAsia="Times" w:hAnsi="Arial"/>
      <w:noProof/>
      <w:sz w:val="15"/>
      <w:lang w:val="en-GB" w:eastAsia="en-US"/>
    </w:rPr>
  </w:style>
  <w:style w:type="paragraph" w:customStyle="1" w:styleId="Tabellrubrik1">
    <w:name w:val="Tabellrubrik 1"/>
    <w:next w:val="Normal"/>
    <w:link w:val="Tabellrubrik1Char"/>
    <w:rsid w:val="00EC5AED"/>
    <w:pPr>
      <w:spacing w:before="360" w:line="210" w:lineRule="atLeast"/>
    </w:pPr>
    <w:rPr>
      <w:rFonts w:ascii="Arial" w:eastAsia="Times" w:hAnsi="Arial"/>
      <w:sz w:val="18"/>
      <w:lang w:eastAsia="en-US"/>
    </w:rPr>
  </w:style>
  <w:style w:type="character" w:customStyle="1" w:styleId="Tabellrubrik1Char">
    <w:name w:val="Tabellrubrik 1 Char"/>
    <w:link w:val="Tabellrubrik1"/>
    <w:rsid w:val="00EC5AED"/>
    <w:rPr>
      <w:rFonts w:ascii="Arial" w:eastAsia="Times" w:hAnsi="Arial"/>
      <w:sz w:val="18"/>
      <w:lang w:eastAsia="en-US"/>
    </w:rPr>
  </w:style>
  <w:style w:type="paragraph" w:customStyle="1" w:styleId="Tabellinnehllhger">
    <w:name w:val="Tabellinnehåll höger"/>
    <w:basedOn w:val="Tabellinnehllvnster"/>
    <w:link w:val="TabellinnehllhgerChar"/>
    <w:rsid w:val="00EC5AED"/>
    <w:pPr>
      <w:jc w:val="right"/>
    </w:pPr>
  </w:style>
  <w:style w:type="character" w:customStyle="1" w:styleId="TabellinnehllhgerChar">
    <w:name w:val="Tabellinnehåll höger Char"/>
    <w:link w:val="Tabellinnehllhger"/>
    <w:rsid w:val="00EC5AED"/>
    <w:rPr>
      <w:rFonts w:ascii="Arial" w:eastAsia="Times" w:hAnsi="Arial"/>
      <w:noProof/>
      <w:sz w:val="15"/>
      <w:lang w:val="en-GB" w:eastAsia="en-US"/>
    </w:rPr>
  </w:style>
  <w:style w:type="character" w:styleId="Hyperlnk">
    <w:name w:val="Hyperlink"/>
    <w:rsid w:val="00EC5AED"/>
    <w:rPr>
      <w:color w:val="0000FF"/>
      <w:u w:val="single"/>
    </w:rPr>
  </w:style>
  <w:style w:type="paragraph" w:customStyle="1" w:styleId="Tabellhuvud">
    <w:name w:val="Tabellhuvud"/>
    <w:basedOn w:val="Tabellinnehllhger"/>
    <w:link w:val="TabellhuvudChar"/>
    <w:rsid w:val="00AA6986"/>
    <w:rPr>
      <w:b/>
    </w:rPr>
  </w:style>
  <w:style w:type="paragraph" w:styleId="Fotnotstext">
    <w:name w:val="footnote text"/>
    <w:aliases w:val="Fotnotstext Char1 Char,Fotnotstext Char Char Char,Fotnotstext Char1 Char Char Char,Fotnotstext Char Char Char Char Char,Fotnotstext Char1 Char Char Char Char Char,Fotnotstext Char Char Char Char Char Char Char,Fotnotstext Char1"/>
    <w:basedOn w:val="Normal"/>
    <w:link w:val="FotnotstextChar"/>
    <w:rsid w:val="00AA6986"/>
    <w:pPr>
      <w:spacing w:line="180" w:lineRule="atLeast"/>
    </w:pPr>
    <w:rPr>
      <w:rFonts w:ascii="Arial" w:hAnsi="Arial"/>
      <w:sz w:val="16"/>
    </w:rPr>
  </w:style>
  <w:style w:type="character" w:customStyle="1" w:styleId="FotnotstextChar">
    <w:name w:val="Fotnotstext Char"/>
    <w:aliases w:val="Fotnotstext Char1 Char Char,Fotnotstext Char Char Char Char,Fotnotstext Char1 Char Char Char Char,Fotnotstext Char Char Char Char Char Char,Fotnotstext Char1 Char Char Char Char Char Char,Fotnotstext Char1 Char1"/>
    <w:basedOn w:val="Standardstycketeckensnitt"/>
    <w:link w:val="Fotnotstext"/>
    <w:rsid w:val="00AA6986"/>
    <w:rPr>
      <w:rFonts w:ascii="Arial" w:hAnsi="Arial"/>
      <w:sz w:val="16"/>
      <w:lang w:eastAsia="en-US"/>
    </w:rPr>
  </w:style>
  <w:style w:type="character" w:customStyle="1" w:styleId="TabellhuvudChar">
    <w:name w:val="Tabellhuvud Char"/>
    <w:link w:val="Tabellhuvud"/>
    <w:rsid w:val="00AA6986"/>
    <w:rPr>
      <w:rFonts w:ascii="Arial" w:eastAsia="Times" w:hAnsi="Arial"/>
      <w:b/>
      <w:noProof/>
      <w:sz w:val="15"/>
      <w:lang w:val="en-GB" w:eastAsia="en-US"/>
    </w:rPr>
  </w:style>
  <w:style w:type="paragraph" w:styleId="Liststycke">
    <w:name w:val="List Paragraph"/>
    <w:basedOn w:val="Normal"/>
    <w:uiPriority w:val="34"/>
    <w:qFormat/>
    <w:rsid w:val="00AA6986"/>
    <w:pPr>
      <w:ind w:left="720"/>
      <w:contextualSpacing/>
    </w:pPr>
  </w:style>
  <w:style w:type="paragraph" w:customStyle="1" w:styleId="Kllaanmrkning">
    <w:name w:val="Källa + anmärkning"/>
    <w:basedOn w:val="Normal"/>
    <w:link w:val="KllaanmrkningChar"/>
    <w:rsid w:val="00555A8A"/>
    <w:pPr>
      <w:overflowPunct/>
      <w:autoSpaceDE/>
      <w:autoSpaceDN/>
      <w:adjustRightInd/>
      <w:spacing w:after="0" w:line="180" w:lineRule="atLeast"/>
      <w:textAlignment w:val="auto"/>
    </w:pPr>
    <w:rPr>
      <w:rFonts w:ascii="Arial" w:eastAsia="Times" w:hAnsi="Arial"/>
      <w:sz w:val="14"/>
    </w:rPr>
  </w:style>
  <w:style w:type="character" w:customStyle="1" w:styleId="KllaanmrkningChar">
    <w:name w:val="Källa + anmärkning Char"/>
    <w:link w:val="Kllaanmrkning"/>
    <w:rsid w:val="00555A8A"/>
    <w:rPr>
      <w:rFonts w:ascii="Arial" w:eastAsia="Times" w:hAnsi="Arial"/>
      <w:sz w:val="14"/>
      <w:lang w:eastAsia="en-US"/>
    </w:rPr>
  </w:style>
  <w:style w:type="character" w:customStyle="1" w:styleId="SidhuvudChar">
    <w:name w:val="Sidhuvud Char"/>
    <w:basedOn w:val="Standardstycketeckensnitt"/>
    <w:link w:val="Sidhuvud"/>
    <w:rsid w:val="00555A8A"/>
    <w:rPr>
      <w:rFonts w:ascii="Times New Roman" w:hAnsi="Times New Roman"/>
      <w:sz w:val="23"/>
      <w:lang w:eastAsia="en-US"/>
    </w:rPr>
  </w:style>
  <w:style w:type="paragraph" w:customStyle="1" w:styleId="Default">
    <w:name w:val="Default"/>
    <w:rsid w:val="002A4EEE"/>
    <w:pPr>
      <w:autoSpaceDE w:val="0"/>
      <w:autoSpaceDN w:val="0"/>
      <w:adjustRightInd w:val="0"/>
    </w:pPr>
    <w:rPr>
      <w:rFonts w:ascii="Calibri" w:eastAsia="Calibri" w:hAnsi="Calibri" w:cs="Calibri"/>
      <w:color w:val="000000"/>
      <w:sz w:val="24"/>
      <w:szCs w:val="24"/>
      <w:lang w:eastAsia="en-US"/>
    </w:rPr>
  </w:style>
  <w:style w:type="table" w:styleId="Ljuslista-dekorfrg2">
    <w:name w:val="Light List Accent 2"/>
    <w:basedOn w:val="Normaltabell"/>
    <w:uiPriority w:val="61"/>
    <w:rsid w:val="005B33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Normalwebb">
    <w:name w:val="Normal (Web)"/>
    <w:basedOn w:val="Normal"/>
    <w:uiPriority w:val="99"/>
    <w:unhideWhenUsed/>
    <w:rsid w:val="00062AA9"/>
    <w:pPr>
      <w:overflowPunct/>
      <w:autoSpaceDE/>
      <w:autoSpaceDN/>
      <w:adjustRightInd/>
      <w:spacing w:before="100" w:beforeAutospacing="1" w:after="192" w:line="240" w:lineRule="auto"/>
      <w:textAlignment w:val="auto"/>
    </w:pPr>
    <w:rPr>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after="160" w:line="300" w:lineRule="exact"/>
      <w:textAlignment w:val="baseline"/>
    </w:pPr>
    <w:rPr>
      <w:rFonts w:ascii="Times New Roman" w:hAnsi="Times New Roman"/>
      <w:sz w:val="23"/>
      <w:lang w:eastAsia="en-US"/>
    </w:rPr>
  </w:style>
  <w:style w:type="paragraph" w:styleId="Rubrik1">
    <w:name w:val="heading 1"/>
    <w:basedOn w:val="Normal"/>
    <w:next w:val="Brdtext"/>
    <w:qFormat/>
    <w:pPr>
      <w:keepNext/>
      <w:spacing w:before="880" w:after="240" w:line="300" w:lineRule="atLeast"/>
      <w:ind w:left="709"/>
      <w:outlineLvl w:val="0"/>
    </w:pPr>
    <w:rPr>
      <w:b/>
      <w:noProof/>
      <w:kern w:val="32"/>
      <w:sz w:val="24"/>
    </w:rPr>
  </w:style>
  <w:style w:type="paragraph" w:styleId="Rubrik2">
    <w:name w:val="heading 2"/>
    <w:basedOn w:val="Normal"/>
    <w:next w:val="Normal"/>
    <w:qFormat/>
    <w:pPr>
      <w:keepNext/>
      <w:spacing w:before="240" w:after="60"/>
      <w:outlineLvl w:val="1"/>
    </w:pPr>
    <w:rPr>
      <w:rFonts w:ascii="Futura Medium" w:hAnsi="Futura Medium"/>
      <w:b/>
      <w:sz w:val="26"/>
    </w:rPr>
  </w:style>
  <w:style w:type="paragraph" w:styleId="Rubrik3">
    <w:name w:val="heading 3"/>
    <w:basedOn w:val="Normal"/>
    <w:next w:val="Normal"/>
    <w:qFormat/>
    <w:pPr>
      <w:keepNext/>
      <w:spacing w:before="240" w:after="60"/>
      <w:outlineLvl w:val="2"/>
    </w:pPr>
  </w:style>
  <w:style w:type="paragraph" w:styleId="Rubrik4">
    <w:name w:val="heading 4"/>
    <w:basedOn w:val="Normal"/>
    <w:next w:val="Normal"/>
    <w:qFormat/>
    <w:pPr>
      <w:keepNext/>
      <w:spacing w:before="880" w:after="240" w:line="280" w:lineRule="atLeast"/>
      <w:ind w:left="709"/>
      <w:outlineLvl w:val="3"/>
    </w:pPr>
    <w:rPr>
      <w:rFonts w:ascii="Verdana" w:hAnsi="Verdana"/>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idnummer">
    <w:name w:val="page number"/>
    <w:rPr>
      <w:rFonts w:ascii="AGaramond" w:hAnsi="AGaramond"/>
      <w:sz w:val="20"/>
    </w:rPr>
  </w:style>
  <w:style w:type="paragraph" w:styleId="Brdtext">
    <w:name w:val="Body Text"/>
    <w:basedOn w:val="Normal"/>
    <w:rsid w:val="00BB4E5D"/>
    <w:pPr>
      <w:spacing w:after="120" w:line="300" w:lineRule="atLeast"/>
      <w:ind w:left="709"/>
    </w:pPr>
  </w:style>
  <w:style w:type="paragraph" w:styleId="Sidfot">
    <w:name w:val="footer"/>
    <w:basedOn w:val="Normal"/>
    <w:link w:val="SidfotChar"/>
    <w:uiPriority w:val="99"/>
    <w:pPr>
      <w:tabs>
        <w:tab w:val="right" w:pos="8590"/>
      </w:tabs>
      <w:spacing w:after="0" w:line="220" w:lineRule="exact"/>
      <w:jc w:val="right"/>
    </w:pPr>
    <w:rPr>
      <w:sz w:val="16"/>
    </w:rPr>
  </w:style>
  <w:style w:type="paragraph" w:styleId="Sidhuvud">
    <w:name w:val="header"/>
    <w:basedOn w:val="Brdtext"/>
    <w:link w:val="SidhuvudChar"/>
    <w:pPr>
      <w:tabs>
        <w:tab w:val="center" w:pos="4536"/>
        <w:tab w:val="right" w:pos="9072"/>
      </w:tabs>
      <w:spacing w:line="260" w:lineRule="atLeast"/>
      <w:ind w:left="0"/>
    </w:pPr>
  </w:style>
  <w:style w:type="paragraph" w:customStyle="1" w:styleId="Hlsning">
    <w:name w:val="Hälsning"/>
    <w:basedOn w:val="Brdtext"/>
    <w:next w:val="Brdtext"/>
    <w:pPr>
      <w:spacing w:before="320" w:after="1040"/>
    </w:pPr>
  </w:style>
  <w:style w:type="paragraph" w:customStyle="1" w:styleId="Punkter">
    <w:name w:val="Punkter"/>
    <w:basedOn w:val="Normal"/>
    <w:pPr>
      <w:tabs>
        <w:tab w:val="right" w:pos="284"/>
      </w:tabs>
      <w:spacing w:after="60"/>
      <w:ind w:left="284" w:hanging="284"/>
    </w:pPr>
  </w:style>
  <w:style w:type="paragraph" w:styleId="Makrotext">
    <w:name w:val="macro"/>
    <w:semiHidden/>
    <w:pPr>
      <w:tabs>
        <w:tab w:val="left" w:pos="576"/>
        <w:tab w:val="left" w:pos="1152"/>
        <w:tab w:val="left" w:pos="1728"/>
        <w:tab w:val="left" w:pos="2304"/>
        <w:tab w:val="left" w:pos="2880"/>
        <w:tab w:val="left" w:pos="3456"/>
        <w:tab w:val="left" w:pos="4032"/>
      </w:tabs>
      <w:overflowPunct w:val="0"/>
      <w:autoSpaceDE w:val="0"/>
      <w:autoSpaceDN w:val="0"/>
      <w:adjustRightInd w:val="0"/>
      <w:spacing w:after="160" w:line="300" w:lineRule="exact"/>
      <w:textAlignment w:val="baseline"/>
    </w:pPr>
    <w:rPr>
      <w:rFonts w:ascii="Courier" w:hAnsi="Courier"/>
      <w:sz w:val="24"/>
      <w:lang w:eastAsia="en-US"/>
    </w:rPr>
  </w:style>
  <w:style w:type="paragraph" w:customStyle="1" w:styleId="Brdtext21">
    <w:name w:val="Brödtext 21"/>
    <w:basedOn w:val="Brdtext"/>
  </w:style>
  <w:style w:type="paragraph" w:customStyle="1" w:styleId="Sidhuvudrubrik">
    <w:name w:val="Sidhuvud rubrik"/>
    <w:next w:val="Sidhuvud"/>
    <w:pPr>
      <w:tabs>
        <w:tab w:val="right" w:pos="7088"/>
        <w:tab w:val="right" w:pos="8364"/>
      </w:tabs>
      <w:overflowPunct w:val="0"/>
      <w:autoSpaceDE w:val="0"/>
      <w:autoSpaceDN w:val="0"/>
      <w:adjustRightInd w:val="0"/>
      <w:spacing w:line="260" w:lineRule="atLeast"/>
      <w:textAlignment w:val="baseline"/>
    </w:pPr>
    <w:rPr>
      <w:rFonts w:ascii="Verdana" w:hAnsi="Verdana"/>
      <w:noProof/>
      <w:sz w:val="18"/>
      <w:lang w:val="en-GB" w:eastAsia="en-US"/>
    </w:rPr>
  </w:style>
  <w:style w:type="paragraph" w:customStyle="1" w:styleId="Adress">
    <w:name w:val="Adress"/>
    <w:basedOn w:val="Brdtext"/>
    <w:pPr>
      <w:spacing w:after="0"/>
      <w:ind w:left="5103"/>
    </w:pPr>
  </w:style>
  <w:style w:type="paragraph" w:customStyle="1" w:styleId="Avsndare">
    <w:name w:val="Avsändare"/>
    <w:basedOn w:val="Brdtext"/>
  </w:style>
  <w:style w:type="paragraph" w:styleId="Ballongtext">
    <w:name w:val="Balloon Text"/>
    <w:basedOn w:val="Normal"/>
    <w:link w:val="BallongtextChar"/>
    <w:rsid w:val="00F8552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rsid w:val="00F8552B"/>
    <w:rPr>
      <w:rFonts w:ascii="Tahoma" w:hAnsi="Tahoma" w:cs="Tahoma"/>
      <w:sz w:val="16"/>
      <w:szCs w:val="16"/>
      <w:lang w:eastAsia="en-US"/>
    </w:rPr>
  </w:style>
  <w:style w:type="paragraph" w:styleId="Rubrik">
    <w:name w:val="Title"/>
    <w:basedOn w:val="Normal"/>
    <w:next w:val="Normal"/>
    <w:link w:val="RubrikChar"/>
    <w:qFormat/>
    <w:rsid w:val="00F8552B"/>
    <w:pPr>
      <w:spacing w:before="240" w:after="60"/>
      <w:jc w:val="center"/>
      <w:outlineLvl w:val="0"/>
    </w:pPr>
    <w:rPr>
      <w:rFonts w:ascii="Cambria" w:hAnsi="Cambria"/>
      <w:b/>
      <w:bCs/>
      <w:kern w:val="28"/>
      <w:sz w:val="32"/>
      <w:szCs w:val="32"/>
    </w:rPr>
  </w:style>
  <w:style w:type="character" w:customStyle="1" w:styleId="RubrikChar">
    <w:name w:val="Rubrik Char"/>
    <w:basedOn w:val="Standardstycketeckensnitt"/>
    <w:link w:val="Rubrik"/>
    <w:rsid w:val="00F8552B"/>
    <w:rPr>
      <w:rFonts w:ascii="Cambria" w:hAnsi="Cambria"/>
      <w:b/>
      <w:bCs/>
      <w:kern w:val="28"/>
      <w:sz w:val="32"/>
      <w:szCs w:val="32"/>
      <w:lang w:eastAsia="en-US"/>
    </w:rPr>
  </w:style>
  <w:style w:type="paragraph" w:customStyle="1" w:styleId="Normal2">
    <w:name w:val="Normal 2"/>
    <w:basedOn w:val="Normal"/>
    <w:link w:val="Normal2Char"/>
    <w:rsid w:val="00F8552B"/>
    <w:pPr>
      <w:spacing w:before="160"/>
    </w:pPr>
  </w:style>
  <w:style w:type="character" w:customStyle="1" w:styleId="Normal2Char">
    <w:name w:val="Normal 2 Char"/>
    <w:link w:val="Normal2"/>
    <w:rsid w:val="00F8552B"/>
    <w:rPr>
      <w:rFonts w:ascii="Times New Roman" w:hAnsi="Times New Roman"/>
      <w:sz w:val="23"/>
      <w:lang w:eastAsia="en-US"/>
    </w:rPr>
  </w:style>
  <w:style w:type="paragraph" w:styleId="Punktlista">
    <w:name w:val="List Bullet"/>
    <w:basedOn w:val="Normal2"/>
    <w:rsid w:val="00F8552B"/>
    <w:pPr>
      <w:numPr>
        <w:numId w:val="1"/>
      </w:numPr>
    </w:pPr>
  </w:style>
  <w:style w:type="character" w:customStyle="1" w:styleId="SidfotChar">
    <w:name w:val="Sidfot Char"/>
    <w:basedOn w:val="Standardstycketeckensnitt"/>
    <w:link w:val="Sidfot"/>
    <w:uiPriority w:val="99"/>
    <w:rsid w:val="00F8552B"/>
    <w:rPr>
      <w:rFonts w:ascii="Times New Roman" w:hAnsi="Times New Roman"/>
      <w:sz w:val="16"/>
      <w:lang w:eastAsia="en-US"/>
    </w:rPr>
  </w:style>
  <w:style w:type="character" w:styleId="Fotnotsreferens">
    <w:name w:val="footnote reference"/>
    <w:rsid w:val="00F8552B"/>
    <w:rPr>
      <w:rFonts w:ascii="Arial" w:hAnsi="Arial"/>
      <w:dstrike w:val="0"/>
      <w:color w:val="auto"/>
      <w:sz w:val="18"/>
      <w:vertAlign w:val="superscript"/>
    </w:rPr>
  </w:style>
  <w:style w:type="paragraph" w:customStyle="1" w:styleId="Tabellinnehllvnster">
    <w:name w:val="Tabellinnehåll vänster"/>
    <w:link w:val="TabellinnehllvnsterChar"/>
    <w:rsid w:val="00F8552B"/>
    <w:pPr>
      <w:spacing w:before="40" w:line="200" w:lineRule="atLeast"/>
    </w:pPr>
    <w:rPr>
      <w:rFonts w:ascii="Arial" w:eastAsia="Times" w:hAnsi="Arial"/>
      <w:noProof/>
      <w:sz w:val="15"/>
      <w:lang w:val="en-GB" w:eastAsia="en-US"/>
    </w:rPr>
  </w:style>
  <w:style w:type="character" w:customStyle="1" w:styleId="TabellinnehllvnsterChar">
    <w:name w:val="Tabellinnehåll vänster Char"/>
    <w:link w:val="Tabellinnehllvnster"/>
    <w:rsid w:val="00F8552B"/>
    <w:rPr>
      <w:rFonts w:ascii="Arial" w:eastAsia="Times" w:hAnsi="Arial"/>
      <w:noProof/>
      <w:sz w:val="15"/>
      <w:lang w:val="en-GB" w:eastAsia="en-US"/>
    </w:rPr>
  </w:style>
  <w:style w:type="paragraph" w:customStyle="1" w:styleId="Tabellrubrik1">
    <w:name w:val="Tabellrubrik 1"/>
    <w:next w:val="Normal"/>
    <w:link w:val="Tabellrubrik1Char"/>
    <w:rsid w:val="00EC5AED"/>
    <w:pPr>
      <w:spacing w:before="360" w:line="210" w:lineRule="atLeast"/>
    </w:pPr>
    <w:rPr>
      <w:rFonts w:ascii="Arial" w:eastAsia="Times" w:hAnsi="Arial"/>
      <w:sz w:val="18"/>
      <w:lang w:eastAsia="en-US"/>
    </w:rPr>
  </w:style>
  <w:style w:type="character" w:customStyle="1" w:styleId="Tabellrubrik1Char">
    <w:name w:val="Tabellrubrik 1 Char"/>
    <w:link w:val="Tabellrubrik1"/>
    <w:rsid w:val="00EC5AED"/>
    <w:rPr>
      <w:rFonts w:ascii="Arial" w:eastAsia="Times" w:hAnsi="Arial"/>
      <w:sz w:val="18"/>
      <w:lang w:eastAsia="en-US"/>
    </w:rPr>
  </w:style>
  <w:style w:type="paragraph" w:customStyle="1" w:styleId="Tabellinnehllhger">
    <w:name w:val="Tabellinnehåll höger"/>
    <w:basedOn w:val="Tabellinnehllvnster"/>
    <w:link w:val="TabellinnehllhgerChar"/>
    <w:rsid w:val="00EC5AED"/>
    <w:pPr>
      <w:jc w:val="right"/>
    </w:pPr>
  </w:style>
  <w:style w:type="character" w:customStyle="1" w:styleId="TabellinnehllhgerChar">
    <w:name w:val="Tabellinnehåll höger Char"/>
    <w:link w:val="Tabellinnehllhger"/>
    <w:rsid w:val="00EC5AED"/>
    <w:rPr>
      <w:rFonts w:ascii="Arial" w:eastAsia="Times" w:hAnsi="Arial"/>
      <w:noProof/>
      <w:sz w:val="15"/>
      <w:lang w:val="en-GB" w:eastAsia="en-US"/>
    </w:rPr>
  </w:style>
  <w:style w:type="character" w:styleId="Hyperlnk">
    <w:name w:val="Hyperlink"/>
    <w:rsid w:val="00EC5AED"/>
    <w:rPr>
      <w:color w:val="0000FF"/>
      <w:u w:val="single"/>
    </w:rPr>
  </w:style>
  <w:style w:type="paragraph" w:customStyle="1" w:styleId="Tabellhuvud">
    <w:name w:val="Tabellhuvud"/>
    <w:basedOn w:val="Tabellinnehllhger"/>
    <w:link w:val="TabellhuvudChar"/>
    <w:rsid w:val="00AA6986"/>
    <w:rPr>
      <w:b/>
    </w:rPr>
  </w:style>
  <w:style w:type="paragraph" w:styleId="Fotnotstext">
    <w:name w:val="footnote text"/>
    <w:aliases w:val="Fotnotstext Char1 Char,Fotnotstext Char Char Char,Fotnotstext Char1 Char Char Char,Fotnotstext Char Char Char Char Char,Fotnotstext Char1 Char Char Char Char Char,Fotnotstext Char Char Char Char Char Char Char,Fotnotstext Char1"/>
    <w:basedOn w:val="Normal"/>
    <w:link w:val="FotnotstextChar"/>
    <w:rsid w:val="00AA6986"/>
    <w:pPr>
      <w:spacing w:line="180" w:lineRule="atLeast"/>
    </w:pPr>
    <w:rPr>
      <w:rFonts w:ascii="Arial" w:hAnsi="Arial"/>
      <w:sz w:val="16"/>
    </w:rPr>
  </w:style>
  <w:style w:type="character" w:customStyle="1" w:styleId="FotnotstextChar">
    <w:name w:val="Fotnotstext Char"/>
    <w:aliases w:val="Fotnotstext Char1 Char Char,Fotnotstext Char Char Char Char,Fotnotstext Char1 Char Char Char Char,Fotnotstext Char Char Char Char Char Char,Fotnotstext Char1 Char Char Char Char Char Char,Fotnotstext Char1 Char1"/>
    <w:basedOn w:val="Standardstycketeckensnitt"/>
    <w:link w:val="Fotnotstext"/>
    <w:rsid w:val="00AA6986"/>
    <w:rPr>
      <w:rFonts w:ascii="Arial" w:hAnsi="Arial"/>
      <w:sz w:val="16"/>
      <w:lang w:eastAsia="en-US"/>
    </w:rPr>
  </w:style>
  <w:style w:type="character" w:customStyle="1" w:styleId="TabellhuvudChar">
    <w:name w:val="Tabellhuvud Char"/>
    <w:link w:val="Tabellhuvud"/>
    <w:rsid w:val="00AA6986"/>
    <w:rPr>
      <w:rFonts w:ascii="Arial" w:eastAsia="Times" w:hAnsi="Arial"/>
      <w:b/>
      <w:noProof/>
      <w:sz w:val="15"/>
      <w:lang w:val="en-GB" w:eastAsia="en-US"/>
    </w:rPr>
  </w:style>
  <w:style w:type="paragraph" w:styleId="Liststycke">
    <w:name w:val="List Paragraph"/>
    <w:basedOn w:val="Normal"/>
    <w:uiPriority w:val="34"/>
    <w:qFormat/>
    <w:rsid w:val="00AA6986"/>
    <w:pPr>
      <w:ind w:left="720"/>
      <w:contextualSpacing/>
    </w:pPr>
  </w:style>
  <w:style w:type="paragraph" w:customStyle="1" w:styleId="Kllaanmrkning">
    <w:name w:val="Källa + anmärkning"/>
    <w:basedOn w:val="Normal"/>
    <w:link w:val="KllaanmrkningChar"/>
    <w:rsid w:val="00555A8A"/>
    <w:pPr>
      <w:overflowPunct/>
      <w:autoSpaceDE/>
      <w:autoSpaceDN/>
      <w:adjustRightInd/>
      <w:spacing w:after="0" w:line="180" w:lineRule="atLeast"/>
      <w:textAlignment w:val="auto"/>
    </w:pPr>
    <w:rPr>
      <w:rFonts w:ascii="Arial" w:eastAsia="Times" w:hAnsi="Arial"/>
      <w:sz w:val="14"/>
    </w:rPr>
  </w:style>
  <w:style w:type="character" w:customStyle="1" w:styleId="KllaanmrkningChar">
    <w:name w:val="Källa + anmärkning Char"/>
    <w:link w:val="Kllaanmrkning"/>
    <w:rsid w:val="00555A8A"/>
    <w:rPr>
      <w:rFonts w:ascii="Arial" w:eastAsia="Times" w:hAnsi="Arial"/>
      <w:sz w:val="14"/>
      <w:lang w:eastAsia="en-US"/>
    </w:rPr>
  </w:style>
  <w:style w:type="character" w:customStyle="1" w:styleId="SidhuvudChar">
    <w:name w:val="Sidhuvud Char"/>
    <w:basedOn w:val="Standardstycketeckensnitt"/>
    <w:link w:val="Sidhuvud"/>
    <w:rsid w:val="00555A8A"/>
    <w:rPr>
      <w:rFonts w:ascii="Times New Roman" w:hAnsi="Times New Roman"/>
      <w:sz w:val="23"/>
      <w:lang w:eastAsia="en-US"/>
    </w:rPr>
  </w:style>
  <w:style w:type="paragraph" w:customStyle="1" w:styleId="Default">
    <w:name w:val="Default"/>
    <w:rsid w:val="002A4EEE"/>
    <w:pPr>
      <w:autoSpaceDE w:val="0"/>
      <w:autoSpaceDN w:val="0"/>
      <w:adjustRightInd w:val="0"/>
    </w:pPr>
    <w:rPr>
      <w:rFonts w:ascii="Calibri" w:eastAsia="Calibri" w:hAnsi="Calibri" w:cs="Calibri"/>
      <w:color w:val="000000"/>
      <w:sz w:val="24"/>
      <w:szCs w:val="24"/>
      <w:lang w:eastAsia="en-US"/>
    </w:rPr>
  </w:style>
  <w:style w:type="table" w:styleId="Ljuslista-dekorfrg2">
    <w:name w:val="Light List Accent 2"/>
    <w:basedOn w:val="Normaltabell"/>
    <w:uiPriority w:val="61"/>
    <w:rsid w:val="005B33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Normalwebb">
    <w:name w:val="Normal (Web)"/>
    <w:basedOn w:val="Normal"/>
    <w:uiPriority w:val="99"/>
    <w:unhideWhenUsed/>
    <w:rsid w:val="00062AA9"/>
    <w:pPr>
      <w:overflowPunct/>
      <w:autoSpaceDE/>
      <w:autoSpaceDN/>
      <w:adjustRightInd/>
      <w:spacing w:before="100" w:beforeAutospacing="1" w:after="192" w:line="240" w:lineRule="auto"/>
      <w:textAlignment w:val="auto"/>
    </w:pPr>
    <w:rPr>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88990">
      <w:bodyDiv w:val="1"/>
      <w:marLeft w:val="0"/>
      <w:marRight w:val="0"/>
      <w:marTop w:val="0"/>
      <w:marBottom w:val="0"/>
      <w:divBdr>
        <w:top w:val="none" w:sz="0" w:space="0" w:color="auto"/>
        <w:left w:val="none" w:sz="0" w:space="0" w:color="auto"/>
        <w:bottom w:val="none" w:sz="0" w:space="0" w:color="auto"/>
        <w:right w:val="none" w:sz="0" w:space="0" w:color="auto"/>
      </w:divBdr>
      <w:divsChild>
        <w:div w:id="1722745252">
          <w:marLeft w:val="0"/>
          <w:marRight w:val="0"/>
          <w:marTop w:val="0"/>
          <w:marBottom w:val="0"/>
          <w:divBdr>
            <w:top w:val="none" w:sz="0" w:space="0" w:color="auto"/>
            <w:left w:val="none" w:sz="0" w:space="0" w:color="auto"/>
            <w:bottom w:val="none" w:sz="0" w:space="0" w:color="auto"/>
            <w:right w:val="none" w:sz="0" w:space="0" w:color="auto"/>
          </w:divBdr>
          <w:divsChild>
            <w:div w:id="748310820">
              <w:marLeft w:val="195"/>
              <w:marRight w:val="180"/>
              <w:marTop w:val="0"/>
              <w:marBottom w:val="0"/>
              <w:divBdr>
                <w:top w:val="none" w:sz="0" w:space="0" w:color="auto"/>
                <w:left w:val="none" w:sz="0" w:space="0" w:color="auto"/>
                <w:bottom w:val="none" w:sz="0" w:space="0" w:color="auto"/>
                <w:right w:val="none" w:sz="0" w:space="0" w:color="auto"/>
              </w:divBdr>
              <w:divsChild>
                <w:div w:id="1588342605">
                  <w:marLeft w:val="195"/>
                  <w:marRight w:val="180"/>
                  <w:marTop w:val="0"/>
                  <w:marBottom w:val="0"/>
                  <w:divBdr>
                    <w:top w:val="none" w:sz="0" w:space="0" w:color="auto"/>
                    <w:left w:val="none" w:sz="0" w:space="0" w:color="auto"/>
                    <w:bottom w:val="none" w:sz="0" w:space="0" w:color="auto"/>
                    <w:right w:val="none" w:sz="0" w:space="0" w:color="auto"/>
                  </w:divBdr>
                  <w:divsChild>
                    <w:div w:id="846214757">
                      <w:marLeft w:val="195"/>
                      <w:marRight w:val="180"/>
                      <w:marTop w:val="0"/>
                      <w:marBottom w:val="0"/>
                      <w:divBdr>
                        <w:top w:val="none" w:sz="0" w:space="0" w:color="auto"/>
                        <w:left w:val="none" w:sz="0" w:space="0" w:color="auto"/>
                        <w:bottom w:val="none" w:sz="0" w:space="0" w:color="auto"/>
                        <w:right w:val="none" w:sz="0" w:space="0" w:color="auto"/>
                      </w:divBdr>
                      <w:divsChild>
                        <w:div w:id="267321982">
                          <w:marLeft w:val="0"/>
                          <w:marRight w:val="0"/>
                          <w:marTop w:val="0"/>
                          <w:marBottom w:val="0"/>
                          <w:divBdr>
                            <w:top w:val="none" w:sz="0" w:space="0" w:color="auto"/>
                            <w:left w:val="none" w:sz="0" w:space="0" w:color="auto"/>
                            <w:bottom w:val="none" w:sz="0" w:space="0" w:color="auto"/>
                            <w:right w:val="none" w:sz="0" w:space="0" w:color="auto"/>
                          </w:divBdr>
                          <w:divsChild>
                            <w:div w:id="1829589275">
                              <w:marLeft w:val="195"/>
                              <w:marRight w:val="180"/>
                              <w:marTop w:val="0"/>
                              <w:marBottom w:val="0"/>
                              <w:divBdr>
                                <w:top w:val="none" w:sz="0" w:space="0" w:color="auto"/>
                                <w:left w:val="none" w:sz="0" w:space="0" w:color="auto"/>
                                <w:bottom w:val="none" w:sz="0" w:space="0" w:color="auto"/>
                                <w:right w:val="none" w:sz="0" w:space="0" w:color="auto"/>
                              </w:divBdr>
                              <w:divsChild>
                                <w:div w:id="1015572914">
                                  <w:marLeft w:val="195"/>
                                  <w:marRight w:val="180"/>
                                  <w:marTop w:val="0"/>
                                  <w:marBottom w:val="0"/>
                                  <w:divBdr>
                                    <w:top w:val="none" w:sz="0" w:space="0" w:color="auto"/>
                                    <w:left w:val="none" w:sz="0" w:space="0" w:color="auto"/>
                                    <w:bottom w:val="none" w:sz="0" w:space="0" w:color="auto"/>
                                    <w:right w:val="none" w:sz="0" w:space="0" w:color="auto"/>
                                  </w:divBdr>
                                  <w:divsChild>
                                    <w:div w:id="124010078">
                                      <w:marLeft w:val="195"/>
                                      <w:marRight w:val="180"/>
                                      <w:marTop w:val="0"/>
                                      <w:marBottom w:val="0"/>
                                      <w:divBdr>
                                        <w:top w:val="none" w:sz="0" w:space="0" w:color="auto"/>
                                        <w:left w:val="none" w:sz="0" w:space="0" w:color="auto"/>
                                        <w:bottom w:val="none" w:sz="0" w:space="0" w:color="auto"/>
                                        <w:right w:val="none" w:sz="0" w:space="0" w:color="auto"/>
                                      </w:divBdr>
                                      <w:divsChild>
                                        <w:div w:id="478767382">
                                          <w:marLeft w:val="195"/>
                                          <w:marRight w:val="180"/>
                                          <w:marTop w:val="0"/>
                                          <w:marBottom w:val="0"/>
                                          <w:divBdr>
                                            <w:top w:val="none" w:sz="0" w:space="0" w:color="auto"/>
                                            <w:left w:val="none" w:sz="0" w:space="0" w:color="auto"/>
                                            <w:bottom w:val="none" w:sz="0" w:space="0" w:color="auto"/>
                                            <w:right w:val="none" w:sz="0" w:space="0" w:color="auto"/>
                                          </w:divBdr>
                                          <w:divsChild>
                                            <w:div w:id="1145582803">
                                              <w:marLeft w:val="0"/>
                                              <w:marRight w:val="0"/>
                                              <w:marTop w:val="0"/>
                                              <w:marBottom w:val="0"/>
                                              <w:divBdr>
                                                <w:top w:val="none" w:sz="0" w:space="0" w:color="auto"/>
                                                <w:left w:val="none" w:sz="0" w:space="0" w:color="auto"/>
                                                <w:bottom w:val="none" w:sz="0" w:space="0" w:color="auto"/>
                                                <w:right w:val="none" w:sz="0" w:space="0" w:color="auto"/>
                                              </w:divBdr>
                                              <w:divsChild>
                                                <w:div w:id="1183055907">
                                                  <w:marLeft w:val="195"/>
                                                  <w:marRight w:val="180"/>
                                                  <w:marTop w:val="0"/>
                                                  <w:marBottom w:val="0"/>
                                                  <w:divBdr>
                                                    <w:top w:val="none" w:sz="0" w:space="0" w:color="auto"/>
                                                    <w:left w:val="none" w:sz="0" w:space="0" w:color="auto"/>
                                                    <w:bottom w:val="none" w:sz="0" w:space="0" w:color="auto"/>
                                                    <w:right w:val="none" w:sz="0" w:space="0" w:color="auto"/>
                                                  </w:divBdr>
                                                  <w:divsChild>
                                                    <w:div w:id="705985223">
                                                      <w:marLeft w:val="195"/>
                                                      <w:marRight w:val="180"/>
                                                      <w:marTop w:val="0"/>
                                                      <w:marBottom w:val="0"/>
                                                      <w:divBdr>
                                                        <w:top w:val="none" w:sz="0" w:space="0" w:color="auto"/>
                                                        <w:left w:val="none" w:sz="0" w:space="0" w:color="auto"/>
                                                        <w:bottom w:val="none" w:sz="0" w:space="0" w:color="auto"/>
                                                        <w:right w:val="none" w:sz="0" w:space="0" w:color="auto"/>
                                                      </w:divBdr>
                                                      <w:divsChild>
                                                        <w:div w:id="9262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chart" Target="charts/chart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chart" Target="charts/chart1.xml"/><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se"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8.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Gemensam\Skrivmallar\Brevmall.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bl0611\users\boan\&#197;rsrapport%202012\Fackmedlemmar\fackdiagram.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bl0611\users\boan\&#197;rsrapport%202012\Arbetsgivare\Medlemsutveckling%20a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manualLayout>
          <c:layoutTarget val="inner"/>
          <c:xMode val="edge"/>
          <c:yMode val="edge"/>
          <c:x val="0.28614523184601925"/>
          <c:y val="7.4548970852327673E-2"/>
          <c:w val="0.71072112860892389"/>
          <c:h val="0.8326195683872849"/>
        </c:manualLayout>
      </c:layout>
      <c:barChart>
        <c:barDir val="col"/>
        <c:grouping val="clustered"/>
        <c:varyColors val="0"/>
        <c:ser>
          <c:idx val="0"/>
          <c:order val="0"/>
          <c:tx>
            <c:strRef>
              <c:f>Blad1!$A$3</c:f>
              <c:strCache>
                <c:ptCount val="1"/>
                <c:pt idx="0">
                  <c:v>LO</c:v>
                </c:pt>
              </c:strCache>
            </c:strRef>
          </c:tx>
          <c:invertIfNegative val="0"/>
          <c:cat>
            <c:numRef>
              <c:f>Blad1!$B$2:$G$2</c:f>
              <c:numCache>
                <c:formatCode>General</c:formatCode>
                <c:ptCount val="6"/>
                <c:pt idx="0">
                  <c:v>2006</c:v>
                </c:pt>
                <c:pt idx="1">
                  <c:v>2007</c:v>
                </c:pt>
                <c:pt idx="2">
                  <c:v>2008</c:v>
                </c:pt>
                <c:pt idx="3">
                  <c:v>2009</c:v>
                </c:pt>
                <c:pt idx="4">
                  <c:v>2010</c:v>
                </c:pt>
                <c:pt idx="5">
                  <c:v>2011</c:v>
                </c:pt>
              </c:numCache>
            </c:numRef>
          </c:cat>
          <c:val>
            <c:numRef>
              <c:f>Blad1!$B$3:$G$3</c:f>
              <c:numCache>
                <c:formatCode>General</c:formatCode>
                <c:ptCount val="6"/>
                <c:pt idx="0">
                  <c:v>1563861</c:v>
                </c:pt>
                <c:pt idx="1">
                  <c:v>1442254</c:v>
                </c:pt>
                <c:pt idx="2">
                  <c:v>1384879</c:v>
                </c:pt>
                <c:pt idx="3">
                  <c:v>1346756</c:v>
                </c:pt>
                <c:pt idx="4">
                  <c:v>1318343</c:v>
                </c:pt>
                <c:pt idx="5">
                  <c:v>1301162</c:v>
                </c:pt>
              </c:numCache>
            </c:numRef>
          </c:val>
        </c:ser>
        <c:ser>
          <c:idx val="1"/>
          <c:order val="1"/>
          <c:tx>
            <c:strRef>
              <c:f>Blad1!$A$4</c:f>
              <c:strCache>
                <c:ptCount val="1"/>
                <c:pt idx="0">
                  <c:v>TCO</c:v>
                </c:pt>
              </c:strCache>
            </c:strRef>
          </c:tx>
          <c:invertIfNegative val="0"/>
          <c:cat>
            <c:numRef>
              <c:f>Blad1!$B$2:$G$2</c:f>
              <c:numCache>
                <c:formatCode>General</c:formatCode>
                <c:ptCount val="6"/>
                <c:pt idx="0">
                  <c:v>2006</c:v>
                </c:pt>
                <c:pt idx="1">
                  <c:v>2007</c:v>
                </c:pt>
                <c:pt idx="2">
                  <c:v>2008</c:v>
                </c:pt>
                <c:pt idx="3">
                  <c:v>2009</c:v>
                </c:pt>
                <c:pt idx="4">
                  <c:v>2010</c:v>
                </c:pt>
                <c:pt idx="5">
                  <c:v>2011</c:v>
                </c:pt>
              </c:numCache>
            </c:numRef>
          </c:cat>
          <c:val>
            <c:numRef>
              <c:f>Blad1!$B$4:$G$4</c:f>
              <c:numCache>
                <c:formatCode>General</c:formatCode>
                <c:ptCount val="6"/>
                <c:pt idx="0">
                  <c:v>1025990</c:v>
                </c:pt>
                <c:pt idx="1">
                  <c:v>974959</c:v>
                </c:pt>
                <c:pt idx="2">
                  <c:v>957933</c:v>
                </c:pt>
                <c:pt idx="3">
                  <c:v>961650</c:v>
                </c:pt>
                <c:pt idx="4">
                  <c:v>962629</c:v>
                </c:pt>
                <c:pt idx="5">
                  <c:v>968866</c:v>
                </c:pt>
              </c:numCache>
            </c:numRef>
          </c:val>
        </c:ser>
        <c:ser>
          <c:idx val="2"/>
          <c:order val="2"/>
          <c:tx>
            <c:strRef>
              <c:f>Blad1!$A$5</c:f>
              <c:strCache>
                <c:ptCount val="1"/>
                <c:pt idx="0">
                  <c:v>Saco</c:v>
                </c:pt>
              </c:strCache>
            </c:strRef>
          </c:tx>
          <c:invertIfNegative val="0"/>
          <c:cat>
            <c:numRef>
              <c:f>Blad1!$B$2:$G$2</c:f>
              <c:numCache>
                <c:formatCode>General</c:formatCode>
                <c:ptCount val="6"/>
                <c:pt idx="0">
                  <c:v>2006</c:v>
                </c:pt>
                <c:pt idx="1">
                  <c:v>2007</c:v>
                </c:pt>
                <c:pt idx="2">
                  <c:v>2008</c:v>
                </c:pt>
                <c:pt idx="3">
                  <c:v>2009</c:v>
                </c:pt>
                <c:pt idx="4">
                  <c:v>2010</c:v>
                </c:pt>
                <c:pt idx="5">
                  <c:v>2011</c:v>
                </c:pt>
              </c:numCache>
            </c:numRef>
          </c:cat>
          <c:val>
            <c:numRef>
              <c:f>Blad1!$B$5:$G$5</c:f>
              <c:numCache>
                <c:formatCode>General</c:formatCode>
                <c:ptCount val="6"/>
                <c:pt idx="0">
                  <c:v>429444</c:v>
                </c:pt>
                <c:pt idx="1">
                  <c:v>427930</c:v>
                </c:pt>
                <c:pt idx="2">
                  <c:v>436287</c:v>
                </c:pt>
                <c:pt idx="3">
                  <c:v>452251</c:v>
                </c:pt>
                <c:pt idx="4">
                  <c:v>462648</c:v>
                </c:pt>
                <c:pt idx="5">
                  <c:v>472274</c:v>
                </c:pt>
              </c:numCache>
            </c:numRef>
          </c:val>
        </c:ser>
        <c:dLbls>
          <c:showLegendKey val="0"/>
          <c:showVal val="0"/>
          <c:showCatName val="0"/>
          <c:showSerName val="0"/>
          <c:showPercent val="0"/>
          <c:showBubbleSize val="0"/>
        </c:dLbls>
        <c:gapWidth val="150"/>
        <c:axId val="44577920"/>
        <c:axId val="44579456"/>
      </c:barChart>
      <c:catAx>
        <c:axId val="44577920"/>
        <c:scaling>
          <c:orientation val="minMax"/>
        </c:scaling>
        <c:delete val="0"/>
        <c:axPos val="b"/>
        <c:numFmt formatCode="General" sourceLinked="1"/>
        <c:majorTickMark val="out"/>
        <c:minorTickMark val="none"/>
        <c:tickLblPos val="nextTo"/>
        <c:crossAx val="44579456"/>
        <c:crosses val="autoZero"/>
        <c:auto val="1"/>
        <c:lblAlgn val="ctr"/>
        <c:lblOffset val="100"/>
        <c:noMultiLvlLbl val="0"/>
      </c:catAx>
      <c:valAx>
        <c:axId val="44579456"/>
        <c:scaling>
          <c:orientation val="minMax"/>
        </c:scaling>
        <c:delete val="0"/>
        <c:axPos val="l"/>
        <c:majorGridlines/>
        <c:numFmt formatCode="General" sourceLinked="1"/>
        <c:majorTickMark val="out"/>
        <c:minorTickMark val="none"/>
        <c:tickLblPos val="nextTo"/>
        <c:crossAx val="44577920"/>
        <c:crosses val="autoZero"/>
        <c:crossBetween val="between"/>
      </c:valAx>
    </c:plotArea>
    <c:legend>
      <c:legendPos val="t"/>
      <c:layout>
        <c:manualLayout>
          <c:xMode val="edge"/>
          <c:yMode val="edge"/>
          <c:x val="0.37287551556055493"/>
          <c:y val="8.9635854341736695E-2"/>
          <c:w val="0.45424896887889016"/>
          <c:h val="0.10130483689538808"/>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12"/>
    </mc:Choice>
    <mc:Fallback>
      <c:style val="12"/>
    </mc:Fallback>
  </mc:AlternateContent>
  <c:chart>
    <c:autoTitleDeleted val="1"/>
    <c:plotArea>
      <c:layout/>
      <c:barChart>
        <c:barDir val="col"/>
        <c:grouping val="clustered"/>
        <c:varyColors val="0"/>
        <c:ser>
          <c:idx val="0"/>
          <c:order val="0"/>
          <c:tx>
            <c:strRef>
              <c:f>Blad1!$A$3</c:f>
              <c:strCache>
                <c:ptCount val="1"/>
                <c:pt idx="0">
                  <c:v>Medlemsföretag i SN</c:v>
                </c:pt>
              </c:strCache>
            </c:strRef>
          </c:tx>
          <c:invertIfNegative val="0"/>
          <c:cat>
            <c:numRef>
              <c:f>Blad1!$B$2:$G$2</c:f>
              <c:numCache>
                <c:formatCode>General</c:formatCode>
                <c:ptCount val="6"/>
                <c:pt idx="0">
                  <c:v>2006</c:v>
                </c:pt>
                <c:pt idx="1">
                  <c:v>2007</c:v>
                </c:pt>
                <c:pt idx="2">
                  <c:v>2008</c:v>
                </c:pt>
                <c:pt idx="3">
                  <c:v>2009</c:v>
                </c:pt>
                <c:pt idx="4">
                  <c:v>2010</c:v>
                </c:pt>
                <c:pt idx="5">
                  <c:v>2011</c:v>
                </c:pt>
              </c:numCache>
            </c:numRef>
          </c:cat>
          <c:val>
            <c:numRef>
              <c:f>Blad1!$B$3:$G$3</c:f>
              <c:numCache>
                <c:formatCode>General</c:formatCode>
                <c:ptCount val="6"/>
                <c:pt idx="0">
                  <c:v>54761</c:v>
                </c:pt>
                <c:pt idx="1">
                  <c:v>55370</c:v>
                </c:pt>
                <c:pt idx="2">
                  <c:v>55789</c:v>
                </c:pt>
                <c:pt idx="3">
                  <c:v>60359</c:v>
                </c:pt>
                <c:pt idx="4">
                  <c:v>60221</c:v>
                </c:pt>
                <c:pt idx="5">
                  <c:v>61931</c:v>
                </c:pt>
              </c:numCache>
            </c:numRef>
          </c:val>
        </c:ser>
        <c:dLbls>
          <c:showLegendKey val="0"/>
          <c:showVal val="0"/>
          <c:showCatName val="0"/>
          <c:showSerName val="0"/>
          <c:showPercent val="0"/>
          <c:showBubbleSize val="0"/>
        </c:dLbls>
        <c:gapWidth val="150"/>
        <c:axId val="44603648"/>
        <c:axId val="44613632"/>
      </c:barChart>
      <c:catAx>
        <c:axId val="44603648"/>
        <c:scaling>
          <c:orientation val="minMax"/>
        </c:scaling>
        <c:delete val="0"/>
        <c:axPos val="b"/>
        <c:numFmt formatCode="General" sourceLinked="1"/>
        <c:majorTickMark val="out"/>
        <c:minorTickMark val="none"/>
        <c:tickLblPos val="nextTo"/>
        <c:crossAx val="44613632"/>
        <c:crosses val="autoZero"/>
        <c:auto val="1"/>
        <c:lblAlgn val="ctr"/>
        <c:lblOffset val="100"/>
        <c:noMultiLvlLbl val="0"/>
      </c:catAx>
      <c:valAx>
        <c:axId val="44613632"/>
        <c:scaling>
          <c:orientation val="minMax"/>
          <c:min val="0"/>
        </c:scaling>
        <c:delete val="0"/>
        <c:axPos val="l"/>
        <c:majorGridlines/>
        <c:numFmt formatCode="General" sourceLinked="1"/>
        <c:majorTickMark val="out"/>
        <c:minorTickMark val="none"/>
        <c:tickLblPos val="nextTo"/>
        <c:crossAx val="44603648"/>
        <c:crosses val="autoZero"/>
        <c:crossBetween val="between"/>
      </c:valAx>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42C41-DA55-4688-8338-4397F15B1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Brevmall</Template>
  <TotalTime>67</TotalTime>
  <Pages>19</Pages>
  <Words>5341</Words>
  <Characters>28308</Characters>
  <Application>Microsoft Office Word</Application>
  <DocSecurity>0</DocSecurity>
  <Lines>235</Lines>
  <Paragraphs>67</Paragraphs>
  <ScaleCrop>false</ScaleCrop>
  <HeadingPairs>
    <vt:vector size="2" baseType="variant">
      <vt:variant>
        <vt:lpstr>Rubrik</vt:lpstr>
      </vt:variant>
      <vt:variant>
        <vt:i4>1</vt:i4>
      </vt:variant>
    </vt:vector>
  </HeadingPairs>
  <TitlesOfParts>
    <vt:vector size="1" baseType="lpstr">
      <vt:lpstr>Företag/namn</vt:lpstr>
    </vt:vector>
  </TitlesOfParts>
  <Company>Integrera konsult AB</Company>
  <LinksUpToDate>false</LinksUpToDate>
  <CharactersWithSpaces>33582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Företag/namn</dc:title>
  <dc:creator>Bo Andersson</dc:creator>
  <cp:lastModifiedBy>Bo Andersson</cp:lastModifiedBy>
  <cp:revision>5</cp:revision>
  <cp:lastPrinted>2012-11-21T15:52:00Z</cp:lastPrinted>
  <dcterms:created xsi:type="dcterms:W3CDTF">2012-11-21T12:50:00Z</dcterms:created>
  <dcterms:modified xsi:type="dcterms:W3CDTF">2012-11-22T09:13:00Z</dcterms:modified>
</cp:coreProperties>
</file>